
<file path=[Content_Types].xml><?xml version="1.0" encoding="utf-8"?>
<Types xmlns="http://schemas.openxmlformats.org/package/2006/content-types">
  <Default Extension="xml" ContentType="application/xml"/>
  <Default Extension="png" ContentType="image/pn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     </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t>     </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rPr>
      </w:pPr>
    </w:p>
    <w:p>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基于区块链的药品追溯应用技术规范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Technical specification for drug traceability application based on blockchain</w:t>
      </w:r>
      <w:r>
        <w:rPr>
          <w:rFonts w:ascii="黑体" w:hAnsi="黑体"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江苏省XXXXXX</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pPr>
      <w:bookmarkStart w:id="21" w:name="BookMark1"/>
      <w:r>
        <w:rPr>
          <w:spacing w:val="320"/>
        </w:rPr>
        <w:t>目</w:t>
      </w:r>
      <w:r>
        <w:t>次</w:t>
      </w:r>
    </w:p>
    <w:p>
      <w:pPr>
        <w:pStyle w:val="19"/>
        <w:tabs>
          <w:tab w:val="right" w:leader="dot" w:pos="9354"/>
        </w:tabs>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"_Toc6090" </w:instrText>
      </w:r>
      <w:r>
        <w:fldChar w:fldCharType="separate"/>
      </w:r>
      <w:r>
        <w:rPr>
          <w:spacing w:val="320"/>
        </w:rPr>
        <w:t>前</w:t>
      </w:r>
      <w:r>
        <w:t>言</w:t>
      </w:r>
      <w:r>
        <w:tab/>
      </w:r>
      <w:r>
        <w:fldChar w:fldCharType="begin"/>
      </w:r>
      <w:r>
        <w:instrText xml:space="preserve"> PAGEREF _Toc6090 \h </w:instrText>
      </w:r>
      <w:r>
        <w:fldChar w:fldCharType="separate"/>
      </w:r>
      <w:r>
        <w:t>II</w:t>
      </w:r>
      <w:r>
        <w:fldChar w:fldCharType="end"/>
      </w:r>
      <w:r>
        <w:fldChar w:fldCharType="end"/>
      </w:r>
    </w:p>
    <w:p>
      <w:pPr>
        <w:pStyle w:val="19"/>
        <w:tabs>
          <w:tab w:val="right" w:leader="dot" w:pos="9354"/>
        </w:tabs>
      </w:pPr>
      <w:r>
        <w:fldChar w:fldCharType="begin"/>
      </w:r>
      <w:r>
        <w:instrText xml:space="preserve"> HYPERLINK \l "_Toc26157" </w:instrText>
      </w:r>
      <w:r>
        <w:fldChar w:fldCharType="separate"/>
      </w:r>
      <w:r>
        <w:rPr>
          <w:rFonts w:hint="eastAsia" w:ascii="黑体" w:eastAsia="黑体"/>
        </w:rPr>
        <w:t xml:space="preserve">1 </w:t>
      </w:r>
      <w:r>
        <w:rPr>
          <w:rFonts w:hint="eastAsia"/>
        </w:rPr>
        <w:t>范围</w:t>
      </w:r>
      <w:r>
        <w:tab/>
      </w:r>
      <w:r>
        <w:fldChar w:fldCharType="begin"/>
      </w:r>
      <w:r>
        <w:instrText xml:space="preserve"> PAGEREF _Toc26157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"_Toc9004" </w:instrText>
      </w:r>
      <w:r>
        <w:fldChar w:fldCharType="separate"/>
      </w:r>
      <w:r>
        <w:rPr>
          <w:rFonts w:hint="eastAsia" w:ascii="黑体" w:eastAsia="黑体"/>
        </w:rPr>
        <w:t xml:space="preserve">2 </w:t>
      </w:r>
      <w:r>
        <w:rPr>
          <w:rFonts w:hint="eastAsia"/>
        </w:rPr>
        <w:t>规范性引用文件</w:t>
      </w:r>
      <w:r>
        <w:tab/>
      </w:r>
      <w:r>
        <w:fldChar w:fldCharType="begin"/>
      </w:r>
      <w:r>
        <w:instrText xml:space="preserve"> PAGEREF _Toc9004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"_Toc8363" </w:instrText>
      </w:r>
      <w:r>
        <w:fldChar w:fldCharType="separate"/>
      </w:r>
      <w:r>
        <w:rPr>
          <w:rFonts w:hint="eastAsia" w:ascii="黑体" w:eastAsia="黑体"/>
        </w:rPr>
        <w:t xml:space="preserve">3 </w:t>
      </w:r>
      <w:r>
        <w:rPr>
          <w:rFonts w:hint="eastAsia"/>
        </w:rPr>
        <w:t>术语和定义</w:t>
      </w:r>
      <w:r>
        <w:tab/>
      </w:r>
      <w:r>
        <w:fldChar w:fldCharType="begin"/>
      </w:r>
      <w:r>
        <w:instrText xml:space="preserve"> PAGEREF _Toc8363 \h </w:instrText>
      </w:r>
      <w:r>
        <w:fldChar w:fldCharType="separate"/>
      </w:r>
      <w:r>
        <w:t>1</w:t>
      </w:r>
      <w:r>
        <w:fldChar w:fldCharType="end"/>
      </w:r>
      <w:r>
        <w:fldChar w:fldCharType="end"/>
      </w:r>
    </w:p>
    <w:p>
      <w:pPr>
        <w:pStyle w:val="19"/>
        <w:tabs>
          <w:tab w:val="right" w:leader="dot" w:pos="9354"/>
        </w:tabs>
      </w:pPr>
      <w:r>
        <w:fldChar w:fldCharType="begin"/>
      </w:r>
      <w:r>
        <w:instrText xml:space="preserve"> HYPERLINK \l "_Toc17383" </w:instrText>
      </w:r>
      <w:r>
        <w:fldChar w:fldCharType="separate"/>
      </w:r>
      <w:r>
        <w:rPr>
          <w:rFonts w:hint="eastAsia" w:ascii="黑体" w:eastAsia="黑体"/>
        </w:rPr>
        <w:t xml:space="preserve">4 </w:t>
      </w:r>
      <w:r>
        <w:rPr>
          <w:rFonts w:hint="eastAsia"/>
        </w:rPr>
        <w:t>缩略语</w:t>
      </w:r>
      <w:r>
        <w:tab/>
      </w:r>
      <w:r>
        <w:fldChar w:fldCharType="begin"/>
      </w:r>
      <w:r>
        <w:instrText xml:space="preserve"> PAGEREF _Toc17383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"_Toc7029" </w:instrText>
      </w:r>
      <w:r>
        <w:fldChar w:fldCharType="separate"/>
      </w:r>
      <w:r>
        <w:rPr>
          <w:rFonts w:hint="eastAsia" w:ascii="黑体" w:eastAsia="黑体"/>
        </w:rPr>
        <w:t xml:space="preserve">5 </w:t>
      </w:r>
      <w:r>
        <w:rPr>
          <w:rFonts w:hint="eastAsia"/>
        </w:rPr>
        <w:t>系统业务描述</w:t>
      </w:r>
      <w:r>
        <w:tab/>
      </w:r>
      <w:r>
        <w:fldChar w:fldCharType="begin"/>
      </w:r>
      <w:r>
        <w:instrText xml:space="preserve"> PAGEREF _Toc7029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"_Toc21432" </w:instrText>
      </w:r>
      <w:r>
        <w:fldChar w:fldCharType="separate"/>
      </w:r>
      <w:r>
        <w:rPr>
          <w:rFonts w:hint="eastAsia" w:ascii="黑体" w:eastAsia="黑体"/>
        </w:rPr>
        <w:t xml:space="preserve">6 </w:t>
      </w:r>
      <w:r>
        <w:rPr>
          <w:rFonts w:hint="eastAsia"/>
        </w:rPr>
        <w:t>系统应用架构</w:t>
      </w:r>
      <w:r>
        <w:tab/>
      </w:r>
      <w:r>
        <w:fldChar w:fldCharType="begin"/>
      </w:r>
      <w:r>
        <w:instrText xml:space="preserve"> PAGEREF _Toc21432 \h </w:instrText>
      </w:r>
      <w:r>
        <w:fldChar w:fldCharType="separate"/>
      </w:r>
      <w:r>
        <w:t>3</w:t>
      </w:r>
      <w:r>
        <w:fldChar w:fldCharType="end"/>
      </w:r>
      <w:r>
        <w:fldChar w:fldCharType="end"/>
      </w:r>
    </w:p>
    <w:p>
      <w:pPr>
        <w:pStyle w:val="19"/>
        <w:tabs>
          <w:tab w:val="right" w:leader="dot" w:pos="9354"/>
        </w:tabs>
      </w:pPr>
      <w:r>
        <w:fldChar w:fldCharType="begin"/>
      </w:r>
      <w:r>
        <w:instrText xml:space="preserve"> HYPERLINK \l "_Toc9751" </w:instrText>
      </w:r>
      <w:r>
        <w:fldChar w:fldCharType="separate"/>
      </w:r>
      <w:r>
        <w:rPr>
          <w:rFonts w:hint="eastAsia" w:ascii="黑体" w:eastAsia="黑体"/>
        </w:rPr>
        <w:t xml:space="preserve">7 </w:t>
      </w:r>
      <w:r>
        <w:rPr>
          <w:rFonts w:hint="eastAsia"/>
        </w:rPr>
        <w:t>系统功能要求</w:t>
      </w:r>
      <w:r>
        <w:tab/>
      </w:r>
      <w:r>
        <w:fldChar w:fldCharType="begin"/>
      </w:r>
      <w:r>
        <w:instrText xml:space="preserve"> PAGEREF _Toc9751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"_Toc21938" </w:instrText>
      </w:r>
      <w:r>
        <w:fldChar w:fldCharType="separate"/>
      </w:r>
      <w:r>
        <w:rPr>
          <w:rFonts w:hint="eastAsia" w:ascii="黑体" w:hAnsi="Times New Roman" w:eastAsia="黑体"/>
          <w:kern w:val="0"/>
          <w14:scene3d>
            <w14:lightRig w14:rig="threePt" w14:dir="t">
              <w14:rot w14:lat="0" w14:lon="0" w14:rev="0"/>
            </w14:lightRig>
          </w14:scene3d>
        </w:rPr>
        <w:t xml:space="preserve">7.1 </w:t>
      </w:r>
      <w:r>
        <w:rPr>
          <w:rFonts w:hint="eastAsia"/>
        </w:rPr>
        <w:t>区块链模块</w:t>
      </w:r>
      <w:r>
        <w:tab/>
      </w:r>
      <w:r>
        <w:fldChar w:fldCharType="begin"/>
      </w:r>
      <w:r>
        <w:instrText xml:space="preserve"> PAGEREF _Toc21938 \h </w:instrText>
      </w:r>
      <w:r>
        <w:fldChar w:fldCharType="separate"/>
      </w:r>
      <w:r>
        <w:t>4</w:t>
      </w:r>
      <w:r>
        <w:fldChar w:fldCharType="end"/>
      </w:r>
      <w:r>
        <w:fldChar w:fldCharType="end"/>
      </w:r>
    </w:p>
    <w:p>
      <w:pPr>
        <w:pStyle w:val="24"/>
        <w:tabs>
          <w:tab w:val="right" w:leader="dot" w:pos="9354"/>
          <w:tab w:val="clear" w:pos="9344"/>
        </w:tabs>
      </w:pPr>
      <w:r>
        <w:fldChar w:fldCharType="begin"/>
      </w:r>
      <w:r>
        <w:instrText xml:space="preserve"> HYPERLINK \l "_Toc18987" </w:instrText>
      </w:r>
      <w:r>
        <w:fldChar w:fldCharType="separate"/>
      </w:r>
      <w:r>
        <w:rPr>
          <w:rFonts w:hint="eastAsia" w:ascii="黑体" w:hAnsi="Times New Roman" w:eastAsia="黑体"/>
          <w:kern w:val="0"/>
          <w14:scene3d>
            <w14:lightRig w14:rig="threePt" w14:dir="t">
              <w14:rot w14:lat="0" w14:lon="0" w14:rev="0"/>
            </w14:lightRig>
          </w14:scene3d>
        </w:rPr>
        <w:t xml:space="preserve">7.2 </w:t>
      </w:r>
      <w:r>
        <w:rPr>
          <w:rFonts w:hint="eastAsia"/>
        </w:rPr>
        <w:t>追溯数据处理模块</w:t>
      </w:r>
      <w:r>
        <w:tab/>
      </w:r>
      <w:r>
        <w:fldChar w:fldCharType="begin"/>
      </w:r>
      <w:r>
        <w:instrText xml:space="preserve"> PAGEREF _Toc18987 \h </w:instrText>
      </w:r>
      <w:r>
        <w:fldChar w:fldCharType="separate"/>
      </w:r>
      <w:r>
        <w:t>4</w:t>
      </w:r>
      <w:r>
        <w:fldChar w:fldCharType="end"/>
      </w:r>
      <w:r>
        <w:fldChar w:fldCharType="end"/>
      </w:r>
    </w:p>
    <w:p>
      <w:pPr>
        <w:pStyle w:val="15"/>
        <w:tabs>
          <w:tab w:val="right" w:leader="dot" w:pos="9354"/>
        </w:tabs>
      </w:pPr>
      <w:r>
        <w:fldChar w:fldCharType="begin"/>
      </w:r>
      <w:r>
        <w:instrText xml:space="preserve"> HYPERLINK \l "_Toc15503" </w:instrText>
      </w:r>
      <w:r>
        <w:fldChar w:fldCharType="separate"/>
      </w:r>
      <w:r>
        <w:rPr>
          <w:rFonts w:hint="eastAsia" w:ascii="黑体" w:eastAsia="黑体"/>
        </w:rPr>
        <w:t xml:space="preserve">7.2.1 </w:t>
      </w:r>
      <w:r>
        <w:rPr>
          <w:rFonts w:hint="eastAsia"/>
        </w:rPr>
        <w:t>统一编码</w:t>
      </w:r>
      <w:r>
        <w:tab/>
      </w:r>
      <w:r>
        <w:fldChar w:fldCharType="begin"/>
      </w:r>
      <w:r>
        <w:instrText xml:space="preserve"> PAGEREF _Toc15503 \h </w:instrText>
      </w:r>
      <w:r>
        <w:fldChar w:fldCharType="separate"/>
      </w:r>
      <w:r>
        <w:t>4</w:t>
      </w:r>
      <w:r>
        <w:fldChar w:fldCharType="end"/>
      </w:r>
      <w:r>
        <w:fldChar w:fldCharType="end"/>
      </w:r>
    </w:p>
    <w:p>
      <w:pPr>
        <w:pStyle w:val="15"/>
        <w:tabs>
          <w:tab w:val="right" w:leader="dot" w:pos="9354"/>
        </w:tabs>
      </w:pPr>
      <w:r>
        <w:fldChar w:fldCharType="begin"/>
      </w:r>
      <w:r>
        <w:instrText xml:space="preserve"> HYPERLINK \l "_Toc10468" </w:instrText>
      </w:r>
      <w:r>
        <w:fldChar w:fldCharType="separate"/>
      </w:r>
      <w:r>
        <w:rPr>
          <w:rFonts w:hint="eastAsia" w:ascii="黑体" w:eastAsia="黑体"/>
        </w:rPr>
        <w:t xml:space="preserve">7.2.2 </w:t>
      </w:r>
      <w:r>
        <w:rPr>
          <w:rFonts w:hint="eastAsia"/>
        </w:rPr>
        <w:t>数据采集</w:t>
      </w:r>
      <w:r>
        <w:tab/>
      </w:r>
      <w:r>
        <w:fldChar w:fldCharType="begin"/>
      </w:r>
      <w:r>
        <w:instrText xml:space="preserve"> PAGEREF _Toc10468 \h </w:instrText>
      </w:r>
      <w:r>
        <w:fldChar w:fldCharType="separate"/>
      </w:r>
      <w:r>
        <w:t>4</w:t>
      </w:r>
      <w:r>
        <w:fldChar w:fldCharType="end"/>
      </w:r>
      <w:r>
        <w:fldChar w:fldCharType="end"/>
      </w:r>
    </w:p>
    <w:p>
      <w:pPr>
        <w:pStyle w:val="15"/>
        <w:tabs>
          <w:tab w:val="right" w:leader="dot" w:pos="9354"/>
        </w:tabs>
      </w:pPr>
      <w:r>
        <w:fldChar w:fldCharType="begin"/>
      </w:r>
      <w:r>
        <w:instrText xml:space="preserve"> HYPERLINK \l "_Toc16535" </w:instrText>
      </w:r>
      <w:r>
        <w:fldChar w:fldCharType="separate"/>
      </w:r>
      <w:r>
        <w:rPr>
          <w:rFonts w:hint="eastAsia" w:ascii="黑体" w:eastAsia="黑体"/>
        </w:rPr>
        <w:t xml:space="preserve">7.2.3 </w:t>
      </w:r>
      <w:r>
        <w:rPr>
          <w:rFonts w:hint="eastAsia"/>
        </w:rPr>
        <w:t>数据清洗</w:t>
      </w:r>
      <w:r>
        <w:tab/>
      </w:r>
      <w:r>
        <w:fldChar w:fldCharType="begin"/>
      </w:r>
      <w:r>
        <w:instrText xml:space="preserve"> PAGEREF _Toc16535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"_Toc11742" </w:instrText>
      </w:r>
      <w:r>
        <w:fldChar w:fldCharType="separate"/>
      </w:r>
      <w:r>
        <w:rPr>
          <w:rFonts w:hint="eastAsia" w:ascii="黑体" w:eastAsia="黑体"/>
        </w:rPr>
        <w:t xml:space="preserve">7.2.4 </w:t>
      </w:r>
      <w:r>
        <w:rPr>
          <w:rFonts w:hint="eastAsia"/>
        </w:rPr>
        <w:t>数据上链</w:t>
      </w:r>
      <w:r>
        <w:tab/>
      </w:r>
      <w:r>
        <w:fldChar w:fldCharType="begin"/>
      </w:r>
      <w:r>
        <w:instrText xml:space="preserve"> PAGEREF _Toc11742 \h </w:instrText>
      </w:r>
      <w:r>
        <w:fldChar w:fldCharType="separate"/>
      </w:r>
      <w:r>
        <w:t>5</w:t>
      </w:r>
      <w:r>
        <w:fldChar w:fldCharType="end"/>
      </w:r>
      <w:r>
        <w:fldChar w:fldCharType="end"/>
      </w:r>
    </w:p>
    <w:p>
      <w:pPr>
        <w:pStyle w:val="24"/>
        <w:tabs>
          <w:tab w:val="right" w:leader="dot" w:pos="9354"/>
          <w:tab w:val="clear" w:pos="9344"/>
        </w:tabs>
      </w:pPr>
      <w:r>
        <w:fldChar w:fldCharType="begin"/>
      </w:r>
      <w:r>
        <w:instrText xml:space="preserve"> HYPERLINK \l "_Toc10646" </w:instrText>
      </w:r>
      <w:r>
        <w:fldChar w:fldCharType="separate"/>
      </w:r>
      <w:r>
        <w:rPr>
          <w:rFonts w:hint="eastAsia" w:ascii="黑体" w:hAnsi="Times New Roman" w:eastAsia="黑体"/>
          <w:kern w:val="0"/>
          <w14:scene3d>
            <w14:lightRig w14:rig="threePt" w14:dir="t">
              <w14:rot w14:lat="0" w14:lon="0" w14:rev="0"/>
            </w14:lightRig>
          </w14:scene3d>
        </w:rPr>
        <w:t xml:space="preserve">7.3 </w:t>
      </w:r>
      <w:r>
        <w:rPr>
          <w:rFonts w:hint="eastAsia"/>
        </w:rPr>
        <w:t>业务监管管理模块</w:t>
      </w:r>
      <w:r>
        <w:tab/>
      </w:r>
      <w:r>
        <w:fldChar w:fldCharType="begin"/>
      </w:r>
      <w:r>
        <w:instrText xml:space="preserve"> PAGEREF _Toc10646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"_Toc2483" </w:instrText>
      </w:r>
      <w:r>
        <w:fldChar w:fldCharType="separate"/>
      </w:r>
      <w:r>
        <w:rPr>
          <w:rFonts w:hint="eastAsia" w:ascii="黑体" w:eastAsia="黑体"/>
        </w:rPr>
        <w:t xml:space="preserve">7.3.1 </w:t>
      </w:r>
      <w:r>
        <w:rPr>
          <w:rFonts w:hint="eastAsia"/>
        </w:rPr>
        <w:t>生产监管</w:t>
      </w:r>
      <w:r>
        <w:tab/>
      </w:r>
      <w:r>
        <w:fldChar w:fldCharType="begin"/>
      </w:r>
      <w:r>
        <w:instrText xml:space="preserve"> PAGEREF _Toc2483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"_Toc21952" </w:instrText>
      </w:r>
      <w:r>
        <w:fldChar w:fldCharType="separate"/>
      </w:r>
      <w:r>
        <w:rPr>
          <w:rFonts w:hint="eastAsia" w:ascii="黑体" w:eastAsia="黑体"/>
        </w:rPr>
        <w:t xml:space="preserve">7.3.2 </w:t>
      </w:r>
      <w:r>
        <w:rPr>
          <w:rFonts w:hint="eastAsia"/>
        </w:rPr>
        <w:t>经营监管</w:t>
      </w:r>
      <w:r>
        <w:tab/>
      </w:r>
      <w:r>
        <w:fldChar w:fldCharType="begin"/>
      </w:r>
      <w:r>
        <w:instrText xml:space="preserve"> PAGEREF _Toc21952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"_Toc14811" </w:instrText>
      </w:r>
      <w:r>
        <w:fldChar w:fldCharType="separate"/>
      </w:r>
      <w:r>
        <w:rPr>
          <w:rFonts w:hint="eastAsia" w:ascii="黑体" w:eastAsia="黑体"/>
        </w:rPr>
        <w:t xml:space="preserve">7.3.3 </w:t>
      </w:r>
      <w:r>
        <w:rPr>
          <w:rFonts w:hint="eastAsia"/>
        </w:rPr>
        <w:t>使用监管</w:t>
      </w:r>
      <w:r>
        <w:tab/>
      </w:r>
      <w:r>
        <w:fldChar w:fldCharType="begin"/>
      </w:r>
      <w:r>
        <w:instrText xml:space="preserve"> PAGEREF _Toc14811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"_Toc19571" </w:instrText>
      </w:r>
      <w:r>
        <w:fldChar w:fldCharType="separate"/>
      </w:r>
      <w:r>
        <w:rPr>
          <w:rFonts w:hint="eastAsia" w:ascii="黑体" w:eastAsia="黑体"/>
        </w:rPr>
        <w:t xml:space="preserve">7.3.4 </w:t>
      </w:r>
      <w:r>
        <w:rPr>
          <w:rFonts w:hint="eastAsia"/>
        </w:rPr>
        <w:t>追溯监管</w:t>
      </w:r>
      <w:r>
        <w:tab/>
      </w:r>
      <w:r>
        <w:fldChar w:fldCharType="begin"/>
      </w:r>
      <w:r>
        <w:instrText xml:space="preserve"> PAGEREF _Toc19571 \h </w:instrText>
      </w:r>
      <w:r>
        <w:fldChar w:fldCharType="separate"/>
      </w:r>
      <w:r>
        <w:t>5</w:t>
      </w:r>
      <w:r>
        <w:fldChar w:fldCharType="end"/>
      </w:r>
      <w:r>
        <w:fldChar w:fldCharType="end"/>
      </w:r>
    </w:p>
    <w:p>
      <w:pPr>
        <w:pStyle w:val="15"/>
        <w:tabs>
          <w:tab w:val="right" w:leader="dot" w:pos="9354"/>
        </w:tabs>
      </w:pPr>
      <w:r>
        <w:fldChar w:fldCharType="begin"/>
      </w:r>
      <w:r>
        <w:instrText xml:space="preserve"> HYPERLINK \l "_Toc20704" </w:instrText>
      </w:r>
      <w:r>
        <w:fldChar w:fldCharType="separate"/>
      </w:r>
      <w:r>
        <w:rPr>
          <w:rFonts w:hint="eastAsia" w:ascii="黑体" w:eastAsia="黑体"/>
        </w:rPr>
        <w:t xml:space="preserve">7.3.5 </w:t>
      </w:r>
      <w:r>
        <w:rPr>
          <w:rFonts w:hint="eastAsia"/>
        </w:rPr>
        <w:t>监管可视化</w:t>
      </w:r>
      <w:r>
        <w:tab/>
      </w:r>
      <w:r>
        <w:fldChar w:fldCharType="begin"/>
      </w:r>
      <w:r>
        <w:instrText xml:space="preserve"> PAGEREF _Toc20704 \h </w:instrText>
      </w:r>
      <w:r>
        <w:fldChar w:fldCharType="separate"/>
      </w:r>
      <w:r>
        <w:t>5</w:t>
      </w:r>
      <w:r>
        <w:fldChar w:fldCharType="end"/>
      </w:r>
      <w:r>
        <w:fldChar w:fldCharType="end"/>
      </w:r>
    </w:p>
    <w:p>
      <w:pPr>
        <w:pStyle w:val="19"/>
        <w:tabs>
          <w:tab w:val="right" w:leader="dot" w:pos="9354"/>
        </w:tabs>
      </w:pPr>
      <w:r>
        <w:fldChar w:fldCharType="begin"/>
      </w:r>
      <w:r>
        <w:instrText xml:space="preserve"> HYPERLINK \l "_Toc25646" </w:instrText>
      </w:r>
      <w:r>
        <w:fldChar w:fldCharType="separate"/>
      </w:r>
      <w:r>
        <w:rPr>
          <w:rFonts w:hint="eastAsia" w:ascii="黑体" w:eastAsia="黑体"/>
        </w:rPr>
        <w:t xml:space="preserve">8 </w:t>
      </w:r>
      <w:r>
        <w:rPr>
          <w:rFonts w:hint="eastAsia"/>
        </w:rPr>
        <w:t>系统技术指标</w:t>
      </w:r>
      <w:r>
        <w:tab/>
      </w:r>
      <w:r>
        <w:fldChar w:fldCharType="begin"/>
      </w:r>
      <w:r>
        <w:instrText xml:space="preserve"> PAGEREF _Toc25646 \h </w:instrText>
      </w:r>
      <w:r>
        <w:fldChar w:fldCharType="separate"/>
      </w:r>
      <w:r>
        <w:t>6</w:t>
      </w:r>
      <w:r>
        <w:fldChar w:fldCharType="end"/>
      </w:r>
      <w:r>
        <w:fldChar w:fldCharType="end"/>
      </w:r>
    </w:p>
    <w:p>
      <w:pPr>
        <w:pStyle w:val="24"/>
        <w:tabs>
          <w:tab w:val="right" w:leader="dot" w:pos="9354"/>
          <w:tab w:val="clear" w:pos="9344"/>
        </w:tabs>
      </w:pPr>
      <w:r>
        <w:fldChar w:fldCharType="begin"/>
      </w:r>
      <w:r>
        <w:instrText xml:space="preserve"> HYPERLINK \l "_Toc2291" </w:instrText>
      </w:r>
      <w:r>
        <w:fldChar w:fldCharType="separate"/>
      </w:r>
      <w:r>
        <w:rPr>
          <w:rFonts w:hint="eastAsia" w:ascii="黑体" w:hAnsi="Times New Roman" w:eastAsia="黑体"/>
          <w:kern w:val="0"/>
          <w14:scene3d>
            <w14:lightRig w14:rig="threePt" w14:dir="t">
              <w14:rot w14:lat="0" w14:lon="0" w14:rev="0"/>
            </w14:lightRig>
          </w14:scene3d>
        </w:rPr>
        <w:t xml:space="preserve">8.1 </w:t>
      </w:r>
      <w:r>
        <w:rPr>
          <w:rFonts w:hint="eastAsia"/>
        </w:rPr>
        <w:t>区块链系统技术指标</w:t>
      </w:r>
      <w:r>
        <w:tab/>
      </w:r>
      <w:r>
        <w:fldChar w:fldCharType="begin"/>
      </w:r>
      <w:r>
        <w:instrText xml:space="preserve"> PAGEREF _Toc2291 \h </w:instrText>
      </w:r>
      <w:r>
        <w:fldChar w:fldCharType="separate"/>
      </w:r>
      <w:r>
        <w:t>6</w:t>
      </w:r>
      <w:r>
        <w:fldChar w:fldCharType="end"/>
      </w:r>
      <w:r>
        <w:fldChar w:fldCharType="end"/>
      </w:r>
    </w:p>
    <w:p>
      <w:pPr>
        <w:pStyle w:val="15"/>
        <w:tabs>
          <w:tab w:val="right" w:leader="dot" w:pos="9354"/>
        </w:tabs>
      </w:pPr>
      <w:r>
        <w:fldChar w:fldCharType="begin"/>
      </w:r>
      <w:r>
        <w:instrText xml:space="preserve"> HYPERLINK \l "_Toc32068" </w:instrText>
      </w:r>
      <w:r>
        <w:fldChar w:fldCharType="separate"/>
      </w:r>
      <w:r>
        <w:rPr>
          <w:rFonts w:hint="eastAsia" w:ascii="黑体" w:eastAsia="黑体"/>
        </w:rPr>
        <w:t xml:space="preserve">8.1.1 </w:t>
      </w:r>
      <w:r>
        <w:rPr>
          <w:rFonts w:hint="eastAsia"/>
        </w:rPr>
        <w:t>兼容性要求</w:t>
      </w:r>
      <w:r>
        <w:tab/>
      </w:r>
      <w:r>
        <w:fldChar w:fldCharType="begin"/>
      </w:r>
      <w:r>
        <w:instrText xml:space="preserve"> PAGEREF _Toc32068 \h </w:instrText>
      </w:r>
      <w:r>
        <w:fldChar w:fldCharType="separate"/>
      </w:r>
      <w:r>
        <w:t>6</w:t>
      </w:r>
      <w:r>
        <w:fldChar w:fldCharType="end"/>
      </w:r>
      <w:r>
        <w:fldChar w:fldCharType="end"/>
      </w:r>
    </w:p>
    <w:p>
      <w:pPr>
        <w:pStyle w:val="15"/>
        <w:tabs>
          <w:tab w:val="right" w:leader="dot" w:pos="9354"/>
        </w:tabs>
      </w:pPr>
      <w:r>
        <w:fldChar w:fldCharType="begin"/>
      </w:r>
      <w:r>
        <w:instrText xml:space="preserve"> HYPERLINK \l "_Toc15458" </w:instrText>
      </w:r>
      <w:r>
        <w:fldChar w:fldCharType="separate"/>
      </w:r>
      <w:r>
        <w:rPr>
          <w:rFonts w:hint="eastAsia" w:ascii="黑体" w:eastAsia="黑体"/>
        </w:rPr>
        <w:t xml:space="preserve">8.1.2 </w:t>
      </w:r>
      <w:r>
        <w:rPr>
          <w:rFonts w:hint="eastAsia"/>
        </w:rPr>
        <w:t>性能要求</w:t>
      </w:r>
      <w:r>
        <w:tab/>
      </w:r>
      <w:r>
        <w:fldChar w:fldCharType="begin"/>
      </w:r>
      <w:r>
        <w:instrText xml:space="preserve"> PAGEREF _Toc15458 \h </w:instrText>
      </w:r>
      <w:r>
        <w:fldChar w:fldCharType="separate"/>
      </w:r>
      <w:r>
        <w:t>6</w:t>
      </w:r>
      <w:r>
        <w:fldChar w:fldCharType="end"/>
      </w:r>
      <w:r>
        <w:fldChar w:fldCharType="end"/>
      </w:r>
    </w:p>
    <w:p>
      <w:pPr>
        <w:pStyle w:val="19"/>
        <w:tabs>
          <w:tab w:val="right" w:leader="dot" w:pos="9354"/>
        </w:tabs>
      </w:pPr>
      <w:r>
        <w:fldChar w:fldCharType="begin"/>
      </w:r>
      <w:r>
        <w:instrText xml:space="preserve"> HYPERLINK \l "_Toc7945" </w:instrText>
      </w:r>
      <w:r>
        <w:fldChar w:fldCharType="separate"/>
      </w:r>
      <w:r>
        <w:rPr>
          <w:rFonts w:hint="eastAsia" w:ascii="黑体" w:eastAsia="黑体"/>
        </w:rPr>
        <w:t xml:space="preserve">9 </w:t>
      </w:r>
      <w:r>
        <w:rPr>
          <w:rFonts w:hint="eastAsia"/>
        </w:rPr>
        <w:t>数据安全</w:t>
      </w:r>
      <w:r>
        <w:tab/>
      </w:r>
      <w:r>
        <w:fldChar w:fldCharType="begin"/>
      </w:r>
      <w:r>
        <w:instrText xml:space="preserve"> PAGEREF _Toc7945 \h </w:instrText>
      </w:r>
      <w:r>
        <w:fldChar w:fldCharType="separate"/>
      </w:r>
      <w:r>
        <w:t>6</w:t>
      </w:r>
      <w:r>
        <w:fldChar w:fldCharType="end"/>
      </w:r>
      <w:r>
        <w:fldChar w:fldCharType="end"/>
      </w:r>
    </w:p>
    <w:p>
      <w:pPr>
        <w:pStyle w:val="91"/>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before="900" w:after="468"/>
      </w:pPr>
      <w:bookmarkStart w:id="22" w:name="_Toc6090"/>
      <w:bookmarkStart w:id="23" w:name="BookMark2"/>
      <w:r>
        <w:rPr>
          <w:spacing w:val="320"/>
        </w:rPr>
        <w:t>前</w:t>
      </w:r>
      <w:r>
        <w:t>言</w:t>
      </w:r>
      <w:bookmarkEnd w:id="22"/>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请注意本文件的某些内容可能涉及专利。本文件的发布机构不承担识别这些专利的责任。</w:t>
      </w:r>
    </w:p>
    <w:p>
      <w:pPr>
        <w:pStyle w:val="56"/>
        <w:ind w:firstLine="420"/>
      </w:pPr>
      <w:r>
        <w:rPr>
          <w:rFonts w:hint="eastAsia"/>
        </w:rPr>
        <w:t>本文件由江苏省药品监督管理局提出。</w:t>
      </w:r>
    </w:p>
    <w:p>
      <w:pPr>
        <w:pStyle w:val="56"/>
        <w:ind w:firstLine="420"/>
      </w:pPr>
      <w:r>
        <w:rPr>
          <w:rFonts w:hint="eastAsia"/>
        </w:rPr>
        <w:t>本文件由江苏省药品监督管理局归口。</w:t>
      </w:r>
    </w:p>
    <w:p>
      <w:pPr>
        <w:pStyle w:val="56"/>
        <w:ind w:firstLine="420"/>
      </w:pPr>
      <w:r>
        <w:rPr>
          <w:rFonts w:hint="eastAsia"/>
        </w:rPr>
        <w:t>本文件起草单位：江苏省药品监督管理局信息中心</w:t>
      </w:r>
      <w:r>
        <w:rPr>
          <w:rFonts w:hint="eastAsia"/>
          <w:lang w:eastAsia="zh-Hans"/>
        </w:rPr>
        <w:t>、</w:t>
      </w:r>
      <w:r>
        <w:rPr>
          <w:rFonts w:hint="eastAsia"/>
        </w:rPr>
        <w:t>江苏移动信息系统集成有限公司、</w:t>
      </w:r>
      <w:bookmarkStart w:id="24" w:name="OLE_LINK9"/>
      <w:bookmarkStart w:id="25" w:name="OLE_LINK10"/>
      <w:r>
        <w:rPr>
          <w:rFonts w:hint="eastAsia"/>
        </w:rPr>
        <w:t>中国移动通信集团江苏有限公司、中国移动紫金（江苏）创新研究院有限公司、</w:t>
      </w:r>
      <w:bookmarkEnd w:id="24"/>
      <w:bookmarkEnd w:id="25"/>
      <w:r>
        <w:rPr>
          <w:rFonts w:hint="eastAsia"/>
        </w:rPr>
        <w:t>常州市康臣卫信信息科技有限公司。</w:t>
      </w:r>
    </w:p>
    <w:p>
      <w:pPr>
        <w:pStyle w:val="56"/>
        <w:ind w:firstLine="420"/>
      </w:pPr>
      <w:r>
        <w:rPr>
          <w:rFonts w:hint="eastAsia"/>
        </w:rPr>
        <w:t>本文件主要起草人：</w:t>
      </w:r>
      <w:r>
        <w:rPr>
          <w:rFonts w:hint="eastAsia"/>
          <w:lang w:eastAsia="zh-Hans"/>
        </w:rPr>
        <w:t>蒋雨、丁德胜</w:t>
      </w:r>
      <w:r>
        <w:rPr>
          <w:rFonts w:hint="eastAsia"/>
        </w:rPr>
        <w:t>、</w:t>
      </w:r>
      <w:r>
        <w:rPr>
          <w:rFonts w:hint="eastAsia"/>
          <w:lang w:eastAsia="zh-Hans"/>
        </w:rPr>
        <w:t>李晗、袁方、彭涛</w:t>
      </w:r>
      <w:r>
        <w:rPr>
          <w:rFonts w:hint="eastAsia"/>
        </w:rPr>
        <w:t>、孙凯、包岩、周晓阳、智勇、程阳、卫俊俊、胡新。</w:t>
      </w:r>
    </w:p>
    <w:p>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pPr>
        <w:pStyle w:val="56"/>
        <w:ind w:firstLine="0" w:firstLineChars="0"/>
      </w:pPr>
      <w:bookmarkStart w:id="26" w:name="BookMark3"/>
    </w:p>
    <w:bookmarkEnd w:id="26"/>
    <w:p>
      <w:pPr>
        <w:spacing w:line="20" w:lineRule="exact"/>
        <w:jc w:val="center"/>
        <w:rPr>
          <w:rFonts w:hint="eastAsia" w:ascii="黑体" w:hAnsi="黑体" w:eastAsia="黑体"/>
          <w:sz w:val="32"/>
          <w:szCs w:val="32"/>
        </w:rPr>
      </w:pPr>
      <w:bookmarkStart w:id="27"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E4AD46B5CEF4404CA462E3339738B726"/>
        </w:placeholder>
      </w:sdtPr>
      <w:sdtContent>
        <w:p>
          <w:pPr>
            <w:pStyle w:val="177"/>
            <w:spacing w:before="3" w:beforeLines="1" w:after="686" w:afterLines="220"/>
            <w:outlineLvl w:val="0"/>
            <w:rPr>
              <w:rFonts w:hint="eastAsia"/>
            </w:rPr>
          </w:pPr>
          <w:bookmarkStart w:id="28" w:name="NEW_STAND_NAME"/>
          <w:r>
            <w:rPr>
              <w:rFonts w:hint="eastAsia"/>
            </w:rPr>
            <w:t>基于区块链的药品追溯应用技术规范</w:t>
          </w:r>
        </w:p>
      </w:sdtContent>
    </w:sdt>
    <w:bookmarkEnd w:id="28"/>
    <w:p>
      <w:pPr>
        <w:pStyle w:val="104"/>
        <w:spacing w:before="312" w:after="312"/>
      </w:pPr>
      <w:bookmarkStart w:id="29" w:name="_Toc17233333"/>
      <w:bookmarkStart w:id="30" w:name="_Toc24884218"/>
      <w:bookmarkStart w:id="31" w:name="_Toc26986771"/>
      <w:bookmarkStart w:id="32" w:name="_Toc26648465"/>
      <w:bookmarkStart w:id="33" w:name="_Toc17233325"/>
      <w:bookmarkStart w:id="34" w:name="_Toc24884211"/>
      <w:bookmarkStart w:id="35" w:name="_Toc26157"/>
      <w:bookmarkStart w:id="36" w:name="_Toc26718930"/>
      <w:bookmarkStart w:id="37" w:name="_Toc26986530"/>
      <w:bookmarkStart w:id="38" w:name="_Toc97191423"/>
      <w:r>
        <w:rPr>
          <w:rFonts w:hint="eastAsia"/>
        </w:rPr>
        <w:t>范围</w:t>
      </w:r>
      <w:bookmarkEnd w:id="29"/>
      <w:bookmarkEnd w:id="30"/>
      <w:bookmarkEnd w:id="31"/>
      <w:bookmarkEnd w:id="32"/>
      <w:bookmarkEnd w:id="33"/>
      <w:bookmarkEnd w:id="34"/>
      <w:bookmarkEnd w:id="35"/>
      <w:bookmarkEnd w:id="36"/>
      <w:bookmarkEnd w:id="37"/>
      <w:bookmarkEnd w:id="38"/>
    </w:p>
    <w:p>
      <w:pPr>
        <w:pStyle w:val="56"/>
        <w:ind w:firstLine="420"/>
      </w:pPr>
      <w:bookmarkStart w:id="39" w:name="_Toc17233334"/>
      <w:bookmarkStart w:id="40" w:name="_Toc24884212"/>
      <w:bookmarkStart w:id="41" w:name="_Toc26648466"/>
      <w:bookmarkStart w:id="42" w:name="_Toc24884219"/>
      <w:bookmarkStart w:id="43" w:name="_Toc17233326"/>
      <w:r>
        <w:rPr>
          <w:rFonts w:hint="eastAsia"/>
        </w:rPr>
        <w:t>本文件规定了基于区块链的药品追溯应用的业务流程、参考框架、基本功能等相关技术要求。</w:t>
      </w:r>
    </w:p>
    <w:p>
      <w:pPr>
        <w:pStyle w:val="56"/>
        <w:ind w:firstLine="420"/>
      </w:pPr>
      <w:r>
        <w:rPr>
          <w:rFonts w:hint="eastAsia"/>
        </w:rPr>
        <w:t>本文件适用于药品追溯应用场景下区块链技术的规范和实现</w:t>
      </w:r>
      <w:r>
        <w:t>,</w:t>
      </w:r>
      <w:r>
        <w:rPr>
          <w:rFonts w:hint="eastAsia"/>
        </w:rPr>
        <w:t>本文件适用于基于区块链的药品追溯系统与应用的开发者、使用者、第三方机构。</w:t>
      </w:r>
    </w:p>
    <w:p>
      <w:pPr>
        <w:pStyle w:val="104"/>
        <w:spacing w:before="312" w:after="312"/>
      </w:pPr>
      <w:bookmarkStart w:id="44" w:name="_Toc26718931"/>
      <w:bookmarkStart w:id="45" w:name="_Toc97191424"/>
      <w:bookmarkStart w:id="46" w:name="_Toc26986531"/>
      <w:bookmarkStart w:id="47" w:name="_Toc26986772"/>
      <w:bookmarkStart w:id="48" w:name="_Toc9004"/>
      <w:r>
        <w:rPr>
          <w:rFonts w:hint="eastAsia"/>
        </w:rPr>
        <w:t>规范性引用文件</w:t>
      </w:r>
      <w:bookmarkEnd w:id="39"/>
      <w:bookmarkEnd w:id="40"/>
      <w:bookmarkEnd w:id="41"/>
      <w:bookmarkEnd w:id="42"/>
      <w:bookmarkEnd w:id="43"/>
      <w:bookmarkEnd w:id="44"/>
      <w:bookmarkEnd w:id="45"/>
      <w:bookmarkEnd w:id="46"/>
      <w:bookmarkEnd w:id="47"/>
      <w:bookmarkEnd w:id="48"/>
    </w:p>
    <w:sdt>
      <w:sdtPr>
        <w:rPr>
          <w:rFonts w:hint="eastAsia"/>
        </w:rPr>
        <w:id w:val="715848253"/>
        <w:placeholder>
          <w:docPart w:val="898D2BF1CF6D4619908F2C0C4220399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230"/>
        <w:rPr>
          <w:rFonts w:hint="eastAsia" w:hAnsi="宋体"/>
        </w:rPr>
      </w:pPr>
      <w:r>
        <w:rPr>
          <w:rFonts w:hint="eastAsia" w:hAnsi="宋体"/>
        </w:rPr>
        <w:t>GB/T</w:t>
      </w:r>
      <w:r>
        <w:rPr>
          <w:rFonts w:hAnsi="宋体"/>
        </w:rPr>
        <w:t xml:space="preserve"> 2260</w:t>
      </w:r>
      <w:r>
        <w:rPr>
          <w:rFonts w:hint="eastAsia" w:hAnsi="宋体"/>
        </w:rPr>
        <w:t>-2007</w:t>
      </w:r>
      <w:r>
        <w:rPr>
          <w:rFonts w:hAnsi="宋体"/>
        </w:rPr>
        <w:t xml:space="preserve"> </w:t>
      </w:r>
      <w:r>
        <w:rPr>
          <w:rFonts w:hint="eastAsia" w:hAnsi="宋体"/>
        </w:rPr>
        <w:t>中华人民共和国行政区划代码</w:t>
      </w:r>
    </w:p>
    <w:p>
      <w:pPr>
        <w:pStyle w:val="230"/>
        <w:rPr>
          <w:rFonts w:hint="eastAsia" w:hAnsi="宋体"/>
        </w:rPr>
      </w:pPr>
      <w:r>
        <w:rPr>
          <w:rFonts w:hAnsi="宋体"/>
        </w:rPr>
        <w:t>GB/T 22239</w:t>
      </w:r>
      <w:r>
        <w:rPr>
          <w:rFonts w:hint="eastAsia" w:hAnsi="宋体"/>
        </w:rPr>
        <w:t>-2019 网络安全等级保护基本要求</w:t>
      </w:r>
    </w:p>
    <w:p>
      <w:pPr>
        <w:pStyle w:val="231"/>
        <w:numPr>
          <w:ilvl w:val="0"/>
          <w:numId w:val="0"/>
        </w:numPr>
        <w:ind w:firstLine="420"/>
      </w:pPr>
      <w:r>
        <w:rPr>
          <w:rFonts w:hint="eastAsia"/>
        </w:rPr>
        <w:t>GB/T 22239-2008 信息安全技术 - 网络安全等级保护基本要求</w:t>
      </w:r>
    </w:p>
    <w:p>
      <w:pPr>
        <w:pStyle w:val="56"/>
        <w:ind w:firstLine="420"/>
      </w:pPr>
      <w:r>
        <w:rPr>
          <w:rFonts w:hint="eastAsia"/>
        </w:rPr>
        <w:t>GB/T 25069-2010 信息安全技术 - 术语</w:t>
      </w:r>
    </w:p>
    <w:p>
      <w:pPr>
        <w:pStyle w:val="230"/>
      </w:pPr>
      <w:r>
        <w:rPr>
          <w:rFonts w:hint="eastAsia" w:hAnsi="宋体"/>
        </w:rPr>
        <w:t>GB/T 28181-2011 安全防范在线监控联网系统信息传输、交换、控制技术要求</w:t>
      </w:r>
    </w:p>
    <w:p>
      <w:pPr>
        <w:pStyle w:val="56"/>
        <w:tabs>
          <w:tab w:val="left" w:pos="3570"/>
        </w:tabs>
        <w:ind w:firstLine="420"/>
      </w:pPr>
      <w:r>
        <w:rPr>
          <w:rFonts w:hint="eastAsia"/>
        </w:rPr>
        <w:t>GB/T 42752-2023 区块链和分布式记账技术 参考框</w:t>
      </w:r>
    </w:p>
    <w:p>
      <w:pPr>
        <w:pStyle w:val="56"/>
        <w:ind w:firstLine="420"/>
      </w:pPr>
      <w:r>
        <w:rPr>
          <w:rFonts w:hint="eastAsia"/>
        </w:rPr>
        <w:t>YD/T 0943-2017 区块链总体技术要求</w:t>
      </w:r>
    </w:p>
    <w:p>
      <w:pPr>
        <w:pStyle w:val="56"/>
        <w:tabs>
          <w:tab w:val="left" w:pos="3570"/>
        </w:tabs>
        <w:ind w:firstLine="420"/>
        <w:rPr>
          <w:strike/>
          <w:color w:val="FF0000"/>
        </w:rPr>
      </w:pPr>
      <w:r>
        <w:rPr>
          <w:rFonts w:hint="eastAsia"/>
          <w:color w:val="000000" w:themeColor="text1"/>
          <w14:textFill>
            <w14:solidFill>
              <w14:schemeClr w14:val="tx1"/>
            </w14:solidFill>
          </w14:textFill>
        </w:rPr>
        <w:t>NMPAB/T 1002-2019 药品追溯码编码要求</w:t>
      </w:r>
    </w:p>
    <w:p>
      <w:pPr>
        <w:pStyle w:val="56"/>
        <w:ind w:firstLine="420"/>
      </w:pPr>
      <w:r>
        <w:rPr>
          <w:rFonts w:hint="eastAsia"/>
        </w:rPr>
        <w:t>T/TBI 21-2021 区块链追溯应用技术规范</w:t>
      </w:r>
    </w:p>
    <w:p>
      <w:pPr>
        <w:pStyle w:val="56"/>
        <w:ind w:firstLine="420"/>
      </w:pPr>
    </w:p>
    <w:p>
      <w:pPr>
        <w:pStyle w:val="104"/>
        <w:spacing w:before="312" w:after="312"/>
      </w:pPr>
      <w:bookmarkStart w:id="49" w:name="_Toc97191425"/>
      <w:bookmarkStart w:id="50" w:name="_Toc8363"/>
      <w:r>
        <w:rPr>
          <w:rFonts w:hint="eastAsia"/>
          <w:szCs w:val="21"/>
        </w:rPr>
        <w:t>术语和定义</w:t>
      </w:r>
      <w:bookmarkEnd w:id="49"/>
      <w:bookmarkEnd w:id="50"/>
    </w:p>
    <w:sdt>
      <w:sdtPr>
        <w:id w:val="-1"/>
        <w:placeholder>
          <w:docPart w:val="75CA5039FF154102A7812C41EA90BF6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51" w:name="_Toc26986532"/>
          <w:bookmarkEnd w:id="51"/>
          <w:r>
            <w:t>下列术语和定义适用于本文件。</w:t>
          </w:r>
        </w:p>
      </w:sdtContent>
    </w:sdt>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区块 block</w:t>
      </w:r>
    </w:p>
    <w:p>
      <w:pPr>
        <w:pStyle w:val="56"/>
        <w:ind w:firstLine="420"/>
      </w:pPr>
      <w:r>
        <w:rPr>
          <w:rFonts w:hint="eastAsia"/>
        </w:rPr>
        <w:t>一种包含区块链元数据和交易数据的数据结构。</w:t>
      </w:r>
    </w:p>
    <w:p>
      <w:pPr>
        <w:pStyle w:val="56"/>
        <w:ind w:firstLine="422"/>
      </w:pPr>
      <w:r>
        <w:rPr>
          <w:rFonts w:hint="eastAsia"/>
          <w:b/>
          <w:bCs/>
        </w:rPr>
        <w:t>注：</w:t>
      </w:r>
      <w:r>
        <w:rPr>
          <w:rFonts w:hint="eastAsia"/>
        </w:rPr>
        <w:t>区块是组成区块链的基本结构单元。</w:t>
      </w:r>
    </w:p>
    <w:p>
      <w:pPr>
        <w:pStyle w:val="56"/>
        <w:ind w:firstLine="420"/>
      </w:pPr>
      <w:r>
        <w:rPr>
          <w:rFonts w:hint="eastAsia"/>
        </w:rPr>
        <w:t>[来源：GB/T 42752-2023，定义3.6]</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事务 transaction</w:t>
      </w:r>
    </w:p>
    <w:p>
      <w:pPr>
        <w:pStyle w:val="56"/>
        <w:ind w:firstLine="420"/>
      </w:pPr>
      <w:r>
        <w:rPr>
          <w:rFonts w:hint="eastAsia"/>
        </w:rPr>
        <w:t>工作过程的最小单元，是产生符合规则要求的结果所需的一个或多个动作序列。</w:t>
      </w:r>
    </w:p>
    <w:p>
      <w:pPr>
        <w:pStyle w:val="56"/>
        <w:ind w:firstLine="420"/>
      </w:pPr>
      <w:r>
        <w:rPr>
          <w:rFonts w:hint="eastAsia"/>
        </w:rPr>
        <w:t>[来源：GB/T 42752-2023，定义3.5]</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共识 consensus</w:t>
      </w:r>
    </w:p>
    <w:p>
      <w:pPr>
        <w:pStyle w:val="56"/>
        <w:ind w:firstLine="420"/>
      </w:pPr>
      <w:r>
        <w:rPr>
          <w:rFonts w:hint="eastAsia"/>
        </w:rPr>
        <w:t>在分布式节点间达成区块链数据一致性认可的结果。</w:t>
      </w:r>
    </w:p>
    <w:p>
      <w:pPr>
        <w:pStyle w:val="56"/>
        <w:ind w:firstLine="420"/>
      </w:pPr>
      <w:r>
        <w:rPr>
          <w:rFonts w:hint="eastAsia"/>
        </w:rPr>
        <w:t>[来源：GB/T 42752-2023，定义3.7]</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 xml:space="preserve">共识机制 </w:t>
      </w:r>
      <w:r>
        <w:rPr>
          <w:rFonts w:ascii="黑体" w:hAnsi="黑体" w:eastAsia="黑体"/>
        </w:rPr>
        <w:t>consensus mechanism</w:t>
      </w:r>
    </w:p>
    <w:p>
      <w:pPr>
        <w:pStyle w:val="56"/>
        <w:ind w:firstLine="420"/>
      </w:pPr>
      <w:r>
        <w:rPr>
          <w:rFonts w:hint="eastAsia"/>
        </w:rPr>
        <w:t>在分布式节点间达成</w:t>
      </w:r>
      <w:r>
        <w:rPr>
          <w:rFonts w:hint="eastAsia"/>
          <w:b/>
          <w:bCs/>
        </w:rPr>
        <w:t>共识（3.3）</w:t>
      </w:r>
      <w:r>
        <w:rPr>
          <w:rFonts w:hint="eastAsia"/>
        </w:rPr>
        <w:t>的规则和程序。</w:t>
      </w:r>
    </w:p>
    <w:p>
      <w:pPr>
        <w:pStyle w:val="56"/>
        <w:ind w:firstLine="420"/>
      </w:pPr>
      <w:r>
        <w:rPr>
          <w:rFonts w:hint="eastAsia"/>
        </w:rPr>
        <w:t>[来源：GB/T 42752-2023，定义3.8]</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账本 ledger</w:t>
      </w:r>
    </w:p>
    <w:p>
      <w:pPr>
        <w:pStyle w:val="56"/>
        <w:ind w:firstLine="420"/>
      </w:pPr>
      <w:r>
        <w:rPr>
          <w:rFonts w:hint="eastAsia"/>
        </w:rPr>
        <w:t>按照时序方法组织的</w:t>
      </w:r>
      <w:r>
        <w:rPr>
          <w:rFonts w:hint="eastAsia"/>
          <w:b/>
          <w:bCs/>
        </w:rPr>
        <w:t>事务（3.2）</w:t>
      </w:r>
      <w:r>
        <w:rPr>
          <w:rFonts w:hint="eastAsia"/>
        </w:rPr>
        <w:t>数据集合。</w:t>
      </w:r>
    </w:p>
    <w:p>
      <w:pPr>
        <w:pStyle w:val="56"/>
        <w:ind w:firstLine="420"/>
      </w:pPr>
      <w:r>
        <w:rPr>
          <w:rFonts w:hint="eastAsia"/>
        </w:rPr>
        <w:t>[来源：GB/T 42752-2023，定义3.9]</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分布式账本 distributed ledger</w:t>
      </w:r>
    </w:p>
    <w:p>
      <w:pPr>
        <w:pStyle w:val="56"/>
        <w:ind w:firstLine="420"/>
      </w:pPr>
      <w:r>
        <w:rPr>
          <w:rFonts w:hint="eastAsia"/>
        </w:rPr>
        <w:t>在分布式节点间共享并使用</w:t>
      </w:r>
      <w:r>
        <w:rPr>
          <w:rFonts w:hint="eastAsia"/>
          <w:b/>
          <w:bCs/>
        </w:rPr>
        <w:t>共识机制（3.4）</w:t>
      </w:r>
      <w:r>
        <w:rPr>
          <w:rFonts w:hint="eastAsia"/>
        </w:rPr>
        <w:t>实现具备一致性的账本。</w:t>
      </w:r>
    </w:p>
    <w:p>
      <w:pPr>
        <w:pStyle w:val="56"/>
        <w:ind w:firstLine="420"/>
      </w:pPr>
      <w:r>
        <w:rPr>
          <w:rFonts w:hint="eastAsia"/>
        </w:rPr>
        <w:t>[来源：GB/T 42752-2023，定义3.10]</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分布式记账账本 distributed ledger technology</w:t>
      </w:r>
    </w:p>
    <w:p>
      <w:pPr>
        <w:pStyle w:val="56"/>
        <w:ind w:firstLine="420"/>
      </w:pPr>
      <w:r>
        <w:rPr>
          <w:rFonts w:hint="eastAsia"/>
        </w:rPr>
        <w:t>实现分布式</w:t>
      </w:r>
      <w:r>
        <w:rPr>
          <w:rFonts w:hint="eastAsia"/>
          <w:b/>
          <w:bCs/>
        </w:rPr>
        <w:t>账本（3.6）</w:t>
      </w:r>
      <w:r>
        <w:rPr>
          <w:rFonts w:hint="eastAsia"/>
        </w:rPr>
        <w:t>的技术的集合。</w:t>
      </w:r>
    </w:p>
    <w:p>
      <w:pPr>
        <w:pStyle w:val="56"/>
        <w:ind w:firstLine="420"/>
      </w:pPr>
      <w:r>
        <w:rPr>
          <w:rFonts w:hint="eastAsia"/>
        </w:rPr>
        <w:t>[来源：GB/T 42752-2023，定义3.11]</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区块链 blockchain</w:t>
      </w:r>
    </w:p>
    <w:p>
      <w:pPr>
        <w:pStyle w:val="56"/>
        <w:ind w:firstLine="420"/>
      </w:pPr>
      <w:r>
        <w:rPr>
          <w:rFonts w:hint="eastAsia"/>
        </w:rPr>
        <w:t>一种使用密码技术链接将共识确认过的</w:t>
      </w:r>
      <w:r>
        <w:rPr>
          <w:rFonts w:hint="eastAsia"/>
          <w:b/>
          <w:bCs/>
        </w:rPr>
        <w:t>区块（3.1）</w:t>
      </w:r>
      <w:r>
        <w:rPr>
          <w:rFonts w:hint="eastAsia"/>
        </w:rPr>
        <w:t>按顺序追加形成的</w:t>
      </w:r>
      <w:r>
        <w:rPr>
          <w:rFonts w:hint="eastAsia"/>
          <w:b/>
          <w:bCs/>
        </w:rPr>
        <w:t>分布式账本（3.6）</w:t>
      </w:r>
      <w:r>
        <w:rPr>
          <w:rFonts w:hint="eastAsia"/>
        </w:rPr>
        <w:t>。</w:t>
      </w:r>
    </w:p>
    <w:p>
      <w:pPr>
        <w:pStyle w:val="56"/>
        <w:ind w:firstLine="420"/>
      </w:pPr>
      <w:r>
        <w:rPr>
          <w:rFonts w:hint="eastAsia"/>
        </w:rPr>
        <w:t>[来源：GB/T 42752-2023，定义3.12]</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智能合约 smart contract</w:t>
      </w:r>
    </w:p>
    <w:p>
      <w:pPr>
        <w:pStyle w:val="56"/>
        <w:ind w:firstLine="420"/>
      </w:pPr>
      <w:r>
        <w:rPr>
          <w:rFonts w:hint="eastAsia"/>
        </w:rPr>
        <w:t>一种储存在</w:t>
      </w:r>
      <w:r>
        <w:rPr>
          <w:rFonts w:hint="eastAsia"/>
          <w:b/>
          <w:bCs/>
        </w:rPr>
        <w:t>分布式账本（3.6）</w:t>
      </w:r>
      <w:r>
        <w:rPr>
          <w:rFonts w:hint="eastAsia"/>
        </w:rPr>
        <w:t>中的计算机程序。</w:t>
      </w:r>
    </w:p>
    <w:p>
      <w:pPr>
        <w:pStyle w:val="56"/>
        <w:ind w:firstLine="422"/>
      </w:pPr>
      <w:r>
        <w:rPr>
          <w:rFonts w:hint="eastAsia"/>
          <w:b/>
          <w:bCs/>
        </w:rPr>
        <w:t>注：</w:t>
      </w:r>
      <w:r>
        <w:rPr>
          <w:rFonts w:hint="eastAsia"/>
        </w:rPr>
        <w:t>智能合约的共识执行结果都记录在分布式账本中。</w:t>
      </w:r>
    </w:p>
    <w:p>
      <w:pPr>
        <w:pStyle w:val="56"/>
        <w:ind w:firstLine="420"/>
      </w:pPr>
      <w:r>
        <w:rPr>
          <w:rFonts w:hint="eastAsia"/>
        </w:rPr>
        <w:t>[来源：GB/T 42752-2023，定义3.13]</w:t>
      </w:r>
    </w:p>
    <w:p>
      <w:pPr>
        <w:pStyle w:val="56"/>
        <w:ind w:firstLine="420"/>
      </w:pP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身份认证 identity authentication</w:t>
      </w:r>
    </w:p>
    <w:p>
      <w:pPr>
        <w:pStyle w:val="56"/>
        <w:ind w:firstLine="420"/>
      </w:pPr>
      <w:r>
        <w:rPr>
          <w:rFonts w:hint="eastAsia"/>
        </w:rPr>
        <w:t>完成对用户身份确认的手段。</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分布式标识 decentralized identifier</w:t>
      </w:r>
    </w:p>
    <w:p>
      <w:pPr>
        <w:pStyle w:val="56"/>
        <w:ind w:firstLine="420"/>
      </w:pPr>
      <w:r>
        <w:rPr>
          <w:rFonts w:hint="eastAsia"/>
        </w:rPr>
        <w:t>用于可验证的去中心化数字身份的一种新型标识符。</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数据清洗 data cleaning</w:t>
      </w:r>
    </w:p>
    <w:p>
      <w:pPr>
        <w:pStyle w:val="56"/>
        <w:ind w:firstLine="420"/>
      </w:pPr>
      <w:r>
        <w:rPr>
          <w:rFonts w:hint="eastAsia"/>
        </w:rPr>
        <w:t>对数据进行重新审查和校验的过程。</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药品标识码 drug identification code</w:t>
      </w:r>
    </w:p>
    <w:p>
      <w:pPr>
        <w:pStyle w:val="56"/>
        <w:ind w:firstLine="420"/>
      </w:pPr>
      <w:r>
        <w:rPr>
          <w:rFonts w:hint="eastAsia"/>
        </w:rPr>
        <w:t>可精确定位药品的生产厂商、仓库、生产时间、入库时间等重要信息的编码。</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药品信息化追溯体系 drug traceability information system</w:t>
      </w:r>
    </w:p>
    <w:p>
      <w:pPr>
        <w:pStyle w:val="56"/>
        <w:ind w:firstLine="420"/>
      </w:pPr>
      <w:r>
        <w:rPr>
          <w:rFonts w:hint="eastAsia"/>
        </w:rPr>
        <w:t>药品上市许可持有人、生产企业、经营企业、使用单位、监管部门、消费者等药品追溯参与方，通过信息化手段，对药品生产、流通、使用等各环节的信息进行追踪、追溯的有机整体。</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药品追溯协同服务平台 drug traceability harmonization service platform</w:t>
      </w:r>
    </w:p>
    <w:p>
      <w:pPr>
        <w:pStyle w:val="56"/>
        <w:ind w:firstLine="420"/>
      </w:pPr>
      <w:r>
        <w:rPr>
          <w:rFonts w:hint="eastAsia"/>
        </w:rPr>
        <w:t>通过提供不同药品追溯系统的访问地址解析、药品追溯码编码规则的备案和管理，以及药品、企业基础数据分发等服务，辅助实现药品追溯相关信息系统互联互通的信息服务系统。</w:t>
      </w:r>
    </w:p>
    <w:p>
      <w:pPr>
        <w:pStyle w:val="223"/>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药品追溯码 drug</w:t>
      </w:r>
      <w:r>
        <w:rPr>
          <w:rFonts w:ascii="黑体" w:hAnsi="黑体" w:eastAsia="黑体"/>
        </w:rPr>
        <w:t xml:space="preserve"> traceability code</w:t>
      </w:r>
    </w:p>
    <w:p>
      <w:pPr>
        <w:pStyle w:val="56"/>
        <w:ind w:firstLine="420"/>
      </w:pPr>
      <w:r>
        <w:rPr>
          <w:rFonts w:hint="eastAsia"/>
        </w:rPr>
        <w:t>用于唯一标识药品各级销售包装单元的代码，由一列数字、字母和（或）符号组成。</w:t>
      </w:r>
    </w:p>
    <w:p>
      <w:pPr>
        <w:pStyle w:val="104"/>
        <w:spacing w:before="312" w:after="312"/>
      </w:pPr>
      <w:bookmarkStart w:id="52" w:name="_Toc17383"/>
      <w:r>
        <w:rPr>
          <w:rFonts w:hint="eastAsia"/>
        </w:rPr>
        <w:t>缩略语</w:t>
      </w:r>
      <w:bookmarkEnd w:id="52"/>
    </w:p>
    <w:p>
      <w:pPr>
        <w:pStyle w:val="56"/>
        <w:ind w:firstLine="420"/>
      </w:pPr>
      <w:r>
        <w:rPr>
          <w:rFonts w:hint="eastAsia"/>
        </w:rPr>
        <w:t>下列缩略语适用于本文件。</w:t>
      </w:r>
    </w:p>
    <w:p>
      <w:pPr>
        <w:pStyle w:val="56"/>
        <w:ind w:firstLine="420"/>
      </w:pPr>
      <w:r>
        <w:t>TPS</w:t>
      </w:r>
      <w:r>
        <w:rPr>
          <w:rFonts w:hint="eastAsia"/>
        </w:rPr>
        <w:t>: 软件测试结果的测量单位</w:t>
      </w:r>
      <w:r>
        <w:t>,</w:t>
      </w:r>
      <w:r>
        <w:rPr>
          <w:rFonts w:hint="eastAsia"/>
        </w:rPr>
        <w:t>代表事务数/秒</w:t>
      </w:r>
      <w:r>
        <w:t>(Transaction per Second)</w:t>
      </w:r>
    </w:p>
    <w:p>
      <w:pPr>
        <w:pStyle w:val="56"/>
        <w:ind w:firstLine="420"/>
      </w:pPr>
      <w:r>
        <w:rPr>
          <w:rFonts w:hint="eastAsia"/>
        </w:rPr>
        <w:t>I</w:t>
      </w:r>
      <w:r>
        <w:t xml:space="preserve">oT: </w:t>
      </w:r>
      <w:r>
        <w:rPr>
          <w:rFonts w:hint="eastAsia"/>
        </w:rPr>
        <w:t>物联网（Internet</w:t>
      </w:r>
      <w:r>
        <w:t xml:space="preserve"> </w:t>
      </w:r>
      <w:r>
        <w:rPr>
          <w:rFonts w:hint="eastAsia"/>
        </w:rPr>
        <w:t>of</w:t>
      </w:r>
      <w:r>
        <w:t xml:space="preserve"> Things</w:t>
      </w:r>
      <w:r>
        <w:rPr>
          <w:rFonts w:hint="eastAsia"/>
        </w:rPr>
        <w:t>）</w:t>
      </w:r>
    </w:p>
    <w:p>
      <w:pPr>
        <w:pStyle w:val="104"/>
        <w:spacing w:before="312" w:after="312"/>
      </w:pPr>
      <w:bookmarkStart w:id="53" w:name="_Toc7029"/>
      <w:r>
        <w:rPr>
          <w:rFonts w:hint="eastAsia"/>
        </w:rPr>
        <w:t>系统业务描述</w:t>
      </w:r>
      <w:bookmarkEnd w:id="53"/>
    </w:p>
    <w:p>
      <w:pPr>
        <w:pStyle w:val="56"/>
        <w:ind w:firstLine="420"/>
      </w:pPr>
      <w:r>
        <w:rPr>
          <w:rFonts w:hint="eastAsia"/>
        </w:rPr>
        <w:t>基于区块链的药品追溯应用是通过信息化手段，对药品生产、流通、使用等各环节的信息进行抓取、清洗、分析及应用，使数据节点形成完整的闭环链路。同时，运用区块链技术对药品流通性数据进行去中心化、不可篡改的赋能，保障业务真实性。构建包含生产企业、流通企业和零售机构等多维度，全流程的药品追溯应用系统。</w:t>
      </w:r>
    </w:p>
    <w:p>
      <w:pPr>
        <w:pStyle w:val="104"/>
        <w:spacing w:before="312" w:after="312"/>
      </w:pPr>
      <w:bookmarkStart w:id="54" w:name="_Toc21432"/>
      <w:r>
        <w:rPr>
          <w:rFonts w:hint="eastAsia"/>
        </w:rPr>
        <w:t>系统应用架构</w:t>
      </w:r>
      <w:bookmarkEnd w:id="54"/>
    </w:p>
    <w:p>
      <w:pPr>
        <w:pStyle w:val="56"/>
        <w:ind w:firstLine="420"/>
      </w:pPr>
      <w:r>
        <w:rPr>
          <w:rFonts w:hint="eastAsia"/>
        </w:rPr>
        <w:t>系统宜按照以下基本架构进行设计：</w:t>
      </w:r>
    </w:p>
    <w:p>
      <w:pPr>
        <w:pStyle w:val="174"/>
        <w:numPr>
          <w:ilvl w:val="0"/>
          <w:numId w:val="0"/>
        </w:numPr>
        <w:ind w:left="851" w:hanging="426"/>
      </w:pPr>
      <w:r>
        <w:rPr>
          <w:rFonts w:hint="eastAsia"/>
          <w:szCs w:val="22"/>
        </w:rPr>
        <w:t>——</w:t>
      </w:r>
      <w:r>
        <w:rPr>
          <w:rFonts w:hint="eastAsia"/>
        </w:rPr>
        <w:t>用户交互层：系统与用户的交互场景应包括身份认证、权限控制、授权管理等；</w:t>
      </w:r>
    </w:p>
    <w:p>
      <w:pPr>
        <w:pStyle w:val="174"/>
        <w:numPr>
          <w:ilvl w:val="0"/>
          <w:numId w:val="0"/>
        </w:numPr>
        <w:ind w:left="851" w:hanging="426"/>
      </w:pPr>
      <w:r>
        <w:rPr>
          <w:rFonts w:hint="eastAsia"/>
          <w:szCs w:val="22"/>
        </w:rPr>
        <w:t>——</w:t>
      </w:r>
      <w:r>
        <w:rPr>
          <w:rFonts w:hint="eastAsia"/>
        </w:rPr>
        <w:t>业务数据层：宜包括数据采集、数据清洗等功能，应包括药品基础数据、药品流通数据；</w:t>
      </w:r>
    </w:p>
    <w:p>
      <w:pPr>
        <w:pStyle w:val="174"/>
        <w:numPr>
          <w:ilvl w:val="0"/>
          <w:numId w:val="0"/>
        </w:numPr>
        <w:ind w:left="851" w:hanging="426"/>
      </w:pPr>
      <w:r>
        <w:rPr>
          <w:rFonts w:hint="eastAsia"/>
          <w:szCs w:val="22"/>
        </w:rPr>
        <w:t>——</w:t>
      </w:r>
      <w:r>
        <w:rPr>
          <w:rFonts w:hint="eastAsia"/>
        </w:rPr>
        <w:t>区块链业务层：应提供区块链技术底座</w:t>
      </w:r>
      <w:r>
        <w:t>,</w:t>
      </w:r>
      <w:r>
        <w:rPr>
          <w:rFonts w:hint="eastAsia"/>
        </w:rPr>
        <w:t xml:space="preserve"> 宜采用联盟链等技术，保证溯源数据的完整性、一致性以及不可篡改性；</w:t>
      </w:r>
    </w:p>
    <w:p>
      <w:pPr>
        <w:pStyle w:val="174"/>
        <w:numPr>
          <w:ilvl w:val="0"/>
          <w:numId w:val="0"/>
        </w:numPr>
        <w:ind w:left="851" w:hanging="426"/>
      </w:pPr>
      <w:r>
        <w:rPr>
          <w:rFonts w:hint="eastAsia"/>
          <w:szCs w:val="22"/>
        </w:rPr>
        <w:t>——</w:t>
      </w:r>
      <w:r>
        <w:rPr>
          <w:rFonts w:hint="eastAsia"/>
        </w:rPr>
        <w:t>基础设施层：应为系统运行提供支撑性底层服务，宜包括基础操作系统和基础硬件，如主机资源、网络设备、数据库软件、信息采集软硬件等。</w:t>
      </w:r>
    </w:p>
    <w:p>
      <w:pPr>
        <w:pStyle w:val="174"/>
        <w:numPr>
          <w:ilvl w:val="0"/>
          <w:numId w:val="0"/>
        </w:numPr>
        <w:jc w:val="center"/>
      </w:pPr>
      <w:r>
        <w:drawing>
          <wp:inline distT="0" distB="0" distL="114300" distR="114300">
            <wp:extent cx="5938520" cy="3019425"/>
            <wp:effectExtent l="0" t="0" r="508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5938520" cy="3019425"/>
                    </a:xfrm>
                    <a:prstGeom prst="rect">
                      <a:avLst/>
                    </a:prstGeom>
                    <a:noFill/>
                    <a:ln>
                      <a:noFill/>
                    </a:ln>
                  </pic:spPr>
                </pic:pic>
              </a:graphicData>
            </a:graphic>
          </wp:inline>
        </w:drawing>
      </w:r>
    </w:p>
    <w:p>
      <w:pPr>
        <w:pStyle w:val="230"/>
        <w:ind w:firstLine="0" w:firstLineChars="0"/>
        <w:jc w:val="center"/>
        <w:rPr>
          <w:b/>
          <w:bCs/>
          <w:szCs w:val="21"/>
        </w:rPr>
      </w:pPr>
      <w:r>
        <w:rPr>
          <w:rFonts w:hint="eastAsia"/>
          <w:b/>
          <w:bCs/>
          <w:szCs w:val="21"/>
        </w:rPr>
        <w:t>图1</w:t>
      </w:r>
      <w:r>
        <w:rPr>
          <w:b/>
          <w:bCs/>
          <w:szCs w:val="21"/>
        </w:rPr>
        <w:t xml:space="preserve"> </w:t>
      </w:r>
      <w:r>
        <w:rPr>
          <w:rFonts w:hint="eastAsia"/>
          <w:b/>
          <w:bCs/>
          <w:szCs w:val="21"/>
          <w:lang w:eastAsia="zh-Hans"/>
        </w:rPr>
        <w:t>基于</w:t>
      </w:r>
      <w:r>
        <w:rPr>
          <w:rFonts w:hint="eastAsia"/>
          <w:b/>
          <w:bCs/>
          <w:szCs w:val="21"/>
        </w:rPr>
        <w:t>区块链</w:t>
      </w:r>
      <w:r>
        <w:rPr>
          <w:rFonts w:hint="eastAsia"/>
          <w:b/>
          <w:bCs/>
          <w:szCs w:val="21"/>
          <w:lang w:eastAsia="zh-Hans"/>
        </w:rPr>
        <w:t>的药品</w:t>
      </w:r>
      <w:r>
        <w:rPr>
          <w:rFonts w:hint="eastAsia"/>
          <w:b/>
          <w:bCs/>
          <w:szCs w:val="21"/>
        </w:rPr>
        <w:t>追溯系统应用框架</w:t>
      </w:r>
    </w:p>
    <w:p>
      <w:pPr>
        <w:pStyle w:val="174"/>
        <w:numPr>
          <w:ilvl w:val="0"/>
          <w:numId w:val="0"/>
        </w:numPr>
        <w:jc w:val="center"/>
      </w:pPr>
    </w:p>
    <w:p>
      <w:pPr>
        <w:pStyle w:val="104"/>
        <w:spacing w:before="312" w:after="312"/>
      </w:pPr>
      <w:bookmarkStart w:id="55" w:name="_Toc9751"/>
      <w:r>
        <w:rPr>
          <w:rFonts w:hint="eastAsia"/>
        </w:rPr>
        <w:t>系统功能要求</w:t>
      </w:r>
      <w:bookmarkEnd w:id="55"/>
    </w:p>
    <w:p>
      <w:pPr>
        <w:pStyle w:val="105"/>
        <w:spacing w:before="156" w:after="156"/>
      </w:pPr>
      <w:bookmarkStart w:id="56" w:name="_Toc21938"/>
      <w:r>
        <w:rPr>
          <w:rFonts w:hint="eastAsia"/>
        </w:rPr>
        <w:t>区块链模块</w:t>
      </w:r>
      <w:bookmarkEnd w:id="56"/>
    </w:p>
    <w:p>
      <w:pPr>
        <w:pStyle w:val="56"/>
        <w:ind w:firstLine="420"/>
      </w:pPr>
      <w:r>
        <w:rPr>
          <w:rFonts w:hint="eastAsia"/>
        </w:rPr>
        <w:t>底层区块链为溯源应用提供技术基础，需要满足以下要求：</w:t>
      </w:r>
    </w:p>
    <w:p>
      <w:pPr>
        <w:pStyle w:val="174"/>
        <w:numPr>
          <w:ilvl w:val="0"/>
          <w:numId w:val="32"/>
        </w:numPr>
      </w:pPr>
      <w:r>
        <w:rPr>
          <w:rFonts w:hint="eastAsia"/>
        </w:rPr>
        <w:t>应具备数据安全存储和数据备份能力，保证溯源数据的完整性、一致性以及不可篡改性，包括结构化数据和非结构化数据</w:t>
      </w:r>
      <w:bookmarkStart w:id="57" w:name="_Hlk175832908"/>
      <w:r>
        <w:rPr>
          <w:rFonts w:hint="eastAsia"/>
        </w:rPr>
        <w:t>；</w:t>
      </w:r>
      <w:bookmarkEnd w:id="57"/>
    </w:p>
    <w:p>
      <w:pPr>
        <w:pStyle w:val="174"/>
        <w:numPr>
          <w:ilvl w:val="0"/>
          <w:numId w:val="32"/>
        </w:numPr>
        <w:rPr>
          <w:color w:val="auto"/>
        </w:rPr>
      </w:pPr>
      <w:r>
        <w:rPr>
          <w:rFonts w:hint="eastAsia"/>
        </w:rPr>
        <w:t>应满足数据隐私性要求，提供隐私保护方案保护参与方隐私数据</w:t>
      </w:r>
      <w:r>
        <w:rPr>
          <w:rFonts w:hint="eastAsia"/>
          <w:color w:val="auto"/>
        </w:rPr>
        <w:t>；</w:t>
      </w:r>
    </w:p>
    <w:p>
      <w:pPr>
        <w:pStyle w:val="174"/>
        <w:numPr>
          <w:ilvl w:val="0"/>
          <w:numId w:val="32"/>
        </w:numPr>
        <w:rPr>
          <w:color w:val="auto"/>
        </w:rPr>
      </w:pPr>
      <w:r>
        <w:rPr>
          <w:rFonts w:hint="eastAsia"/>
          <w:color w:val="auto"/>
        </w:rPr>
        <w:t>应保证各节点间数据网络传输通道的安全性，防止网络劫持和数据窃听。</w:t>
      </w:r>
    </w:p>
    <w:p>
      <w:pPr>
        <w:pStyle w:val="105"/>
        <w:spacing w:before="156" w:after="156"/>
      </w:pPr>
      <w:bookmarkStart w:id="58" w:name="_Toc18987"/>
      <w:r>
        <w:rPr>
          <w:rFonts w:hint="eastAsia"/>
        </w:rPr>
        <w:t>追溯数据处理模块</w:t>
      </w:r>
      <w:bookmarkEnd w:id="58"/>
    </w:p>
    <w:p>
      <w:pPr>
        <w:pStyle w:val="56"/>
        <w:ind w:firstLine="420"/>
      </w:pPr>
      <w:r>
        <w:rPr>
          <w:rFonts w:hint="eastAsia"/>
        </w:rPr>
        <w:t>追溯数据处理模块应对药品数据全生命周期进行管理，包括但不限于统一编码、数据采集、数据清洗、数据上链。</w:t>
      </w:r>
    </w:p>
    <w:p>
      <w:pPr>
        <w:pStyle w:val="65"/>
        <w:spacing w:before="156" w:after="156"/>
      </w:pPr>
      <w:bookmarkStart w:id="59" w:name="_Toc15503"/>
      <w:r>
        <w:rPr>
          <w:rFonts w:hint="eastAsia"/>
        </w:rPr>
        <w:t>统一编码</w:t>
      </w:r>
      <w:bookmarkEnd w:id="59"/>
    </w:p>
    <w:p>
      <w:pPr>
        <w:pStyle w:val="56"/>
        <w:ind w:firstLine="420"/>
      </w:pPr>
      <w:r>
        <w:rPr>
          <w:rFonts w:hint="eastAsia"/>
        </w:rPr>
        <w:t>应遵循</w:t>
      </w:r>
      <w:r>
        <w:t xml:space="preserve">NMPAB/T 1002-2019 </w:t>
      </w:r>
      <w:r>
        <w:rPr>
          <w:rFonts w:hint="eastAsia"/>
        </w:rPr>
        <w:t>药品追溯码编码要求，使用统一的药品追溯码。</w:t>
      </w:r>
    </w:p>
    <w:p>
      <w:pPr>
        <w:pStyle w:val="65"/>
        <w:spacing w:before="156" w:after="156"/>
      </w:pPr>
      <w:bookmarkStart w:id="60" w:name="_Toc10468"/>
      <w:r>
        <w:rPr>
          <w:rFonts w:hint="eastAsia"/>
        </w:rPr>
        <w:t>数据采集</w:t>
      </w:r>
      <w:bookmarkEnd w:id="60"/>
    </w:p>
    <w:p>
      <w:pPr>
        <w:pStyle w:val="56"/>
        <w:ind w:firstLine="420"/>
      </w:pPr>
      <w:r>
        <w:rPr>
          <w:rFonts w:hint="eastAsia"/>
        </w:rPr>
        <w:t>宜采用物联网设备自动上报、第三方系统接口获取、手工录入等方式进行药品数据采集。</w:t>
      </w:r>
    </w:p>
    <w:p>
      <w:pPr>
        <w:pStyle w:val="65"/>
        <w:spacing w:before="156" w:after="156"/>
      </w:pPr>
      <w:bookmarkStart w:id="61" w:name="_Toc16535"/>
      <w:r>
        <w:rPr>
          <w:rFonts w:hint="eastAsia"/>
        </w:rPr>
        <w:t>数据清洗</w:t>
      </w:r>
      <w:bookmarkEnd w:id="61"/>
    </w:p>
    <w:p>
      <w:pPr>
        <w:pStyle w:val="56"/>
        <w:ind w:firstLine="420"/>
      </w:pPr>
      <w:r>
        <w:rPr>
          <w:rFonts w:hint="eastAsia"/>
        </w:rPr>
        <w:t>应对上链数据进行进一步整理，构建相应的追溯信息模型，以符合监管平台实际使用需要。</w:t>
      </w:r>
    </w:p>
    <w:p>
      <w:pPr>
        <w:pStyle w:val="65"/>
        <w:spacing w:before="156" w:after="156"/>
      </w:pPr>
      <w:bookmarkStart w:id="62" w:name="_Toc11742"/>
      <w:r>
        <w:rPr>
          <w:rFonts w:hint="eastAsia"/>
        </w:rPr>
        <w:t>数据上链</w:t>
      </w:r>
      <w:bookmarkEnd w:id="62"/>
    </w:p>
    <w:p>
      <w:pPr>
        <w:pStyle w:val="56"/>
        <w:ind w:firstLine="420"/>
      </w:pPr>
      <w:r>
        <w:rPr>
          <w:rFonts w:hint="eastAsia"/>
        </w:rPr>
        <w:t>应提供数据上链的功能，通过数据上链模块把数据保存到区块链上，实现区块链所赋予部分或全部应用特点，如不可篡改、全程留痕、公开透明、共同维护等。药品追溯监管需纳入上链管理的业务数据应包括但不限于以下内容：</w:t>
      </w:r>
    </w:p>
    <w:p>
      <w:pPr>
        <w:pStyle w:val="56"/>
        <w:ind w:firstLine="420"/>
      </w:pPr>
      <w:r>
        <w:rPr>
          <w:rFonts w:hint="eastAsia"/>
        </w:rPr>
        <w:t>a)</w:t>
      </w:r>
      <w:r>
        <w:rPr>
          <w:rFonts w:hint="eastAsia"/>
        </w:rPr>
        <w:tab/>
      </w:r>
      <w:r>
        <w:rPr>
          <w:rFonts w:hint="eastAsia"/>
        </w:rPr>
        <w:t>生产企业和药品生产信息：境内药品生产企业基本信息、药品生产许可证基本信息、企业生产的药品基本信息；</w:t>
      </w:r>
    </w:p>
    <w:p>
      <w:pPr>
        <w:pStyle w:val="56"/>
        <w:ind w:firstLine="420"/>
      </w:pPr>
      <w:r>
        <w:rPr>
          <w:rFonts w:hint="eastAsia"/>
        </w:rPr>
        <w:t>b)</w:t>
      </w:r>
      <w:r>
        <w:rPr>
          <w:rFonts w:hint="eastAsia"/>
        </w:rPr>
        <w:tab/>
      </w:r>
      <w:r>
        <w:rPr>
          <w:rFonts w:hint="eastAsia"/>
        </w:rPr>
        <w:t>生产企业药品自检信息：药品上市许可持有人、药品生产企业每年进行自检，监控药品生产质量管理规范的实施情况的信</w:t>
      </w:r>
      <w:bookmarkStart w:id="76" w:name="_GoBack"/>
      <w:r>
        <w:rPr>
          <w:rFonts w:hint="eastAsia"/>
          <w:color w:val="auto"/>
        </w:rPr>
        <w:t>息；</w:t>
      </w:r>
      <w:bookmarkEnd w:id="76"/>
    </w:p>
    <w:p>
      <w:pPr>
        <w:pStyle w:val="56"/>
        <w:ind w:firstLine="420"/>
        <w:rPr>
          <w:color w:val="auto"/>
        </w:rPr>
      </w:pPr>
      <w:r>
        <w:rPr>
          <w:rFonts w:hint="eastAsia"/>
        </w:rPr>
        <w:t>c)</w:t>
      </w:r>
      <w:r>
        <w:rPr>
          <w:rFonts w:hint="eastAsia"/>
        </w:rPr>
        <w:tab/>
      </w:r>
      <w:r>
        <w:rPr>
          <w:rFonts w:hint="eastAsia"/>
        </w:rPr>
        <w:t>药品流通的进销信息：药品上市许可持有人、药品生产企业、药品经营企业的发货单和收货单信息</w:t>
      </w:r>
      <w:r>
        <w:rPr>
          <w:rFonts w:hint="eastAsia"/>
          <w:color w:val="auto"/>
        </w:rPr>
        <w:t>；</w:t>
      </w:r>
    </w:p>
    <w:p>
      <w:pPr>
        <w:pStyle w:val="56"/>
        <w:ind w:firstLine="420"/>
        <w:rPr>
          <w:color w:val="auto"/>
        </w:rPr>
      </w:pPr>
      <w:r>
        <w:rPr>
          <w:rFonts w:hint="eastAsia"/>
          <w:color w:val="auto"/>
        </w:rPr>
        <w:t>d)</w:t>
      </w:r>
      <w:r>
        <w:rPr>
          <w:rFonts w:hint="eastAsia"/>
          <w:color w:val="auto"/>
        </w:rPr>
        <w:tab/>
      </w:r>
      <w:r>
        <w:rPr>
          <w:rFonts w:hint="eastAsia"/>
          <w:color w:val="auto"/>
        </w:rPr>
        <w:t>药品召回信息：药品存在质量问题或者其他安全隐患的，药品上市许可持有人依法召回药品的信息；</w:t>
      </w:r>
    </w:p>
    <w:p>
      <w:pPr>
        <w:pStyle w:val="56"/>
        <w:ind w:firstLine="420"/>
        <w:rPr>
          <w:color w:val="auto"/>
        </w:rPr>
      </w:pPr>
      <w:r>
        <w:rPr>
          <w:rFonts w:hint="eastAsia"/>
        </w:rPr>
        <w:t>e)</w:t>
      </w:r>
      <w:r>
        <w:rPr>
          <w:rFonts w:hint="eastAsia"/>
        </w:rPr>
        <w:tab/>
      </w:r>
      <w:r>
        <w:rPr>
          <w:rFonts w:hint="eastAsia"/>
        </w:rPr>
        <w:t>药品使用接种信息：药品终端使用和接种信息</w:t>
      </w:r>
      <w:r>
        <w:rPr>
          <w:rFonts w:hint="eastAsia"/>
          <w:color w:val="auto"/>
        </w:rPr>
        <w:t>；</w:t>
      </w:r>
    </w:p>
    <w:p>
      <w:pPr>
        <w:pStyle w:val="56"/>
        <w:ind w:firstLine="420"/>
        <w:rPr>
          <w:color w:val="auto"/>
        </w:rPr>
      </w:pPr>
      <w:r>
        <w:rPr>
          <w:rFonts w:hint="eastAsia"/>
          <w:color w:val="auto"/>
        </w:rPr>
        <w:t>f)</w:t>
      </w:r>
      <w:r>
        <w:rPr>
          <w:rFonts w:hint="eastAsia"/>
          <w:color w:val="auto"/>
        </w:rPr>
        <w:tab/>
      </w:r>
      <w:r>
        <w:rPr>
          <w:rFonts w:hint="eastAsia"/>
          <w:color w:val="auto"/>
        </w:rPr>
        <w:t>药品仓储温湿度信息：各类药品储存库温湿度的信息；</w:t>
      </w:r>
    </w:p>
    <w:p>
      <w:pPr>
        <w:pStyle w:val="56"/>
        <w:ind w:firstLine="420"/>
        <w:rPr>
          <w:color w:val="auto"/>
        </w:rPr>
      </w:pPr>
      <w:r>
        <w:rPr>
          <w:rFonts w:hint="eastAsia"/>
          <w:color w:val="auto"/>
        </w:rPr>
        <w:t>g)</w:t>
      </w:r>
      <w:r>
        <w:rPr>
          <w:rFonts w:hint="eastAsia"/>
          <w:color w:val="auto"/>
        </w:rPr>
        <w:tab/>
      </w:r>
      <w:r>
        <w:rPr>
          <w:rFonts w:hint="eastAsia"/>
          <w:color w:val="auto"/>
        </w:rPr>
        <w:t>药品运输温湿度信息：各类药品运输过程中温湿度的信息。</w:t>
      </w:r>
    </w:p>
    <w:p>
      <w:pPr>
        <w:pStyle w:val="105"/>
        <w:spacing w:before="156" w:after="156"/>
      </w:pPr>
      <w:bookmarkStart w:id="63" w:name="_Toc10646"/>
      <w:r>
        <w:rPr>
          <w:rFonts w:hint="eastAsia"/>
        </w:rPr>
        <w:t>业务监管管理模块</w:t>
      </w:r>
      <w:bookmarkEnd w:id="63"/>
    </w:p>
    <w:p>
      <w:pPr>
        <w:pStyle w:val="56"/>
        <w:ind w:firstLine="420"/>
      </w:pPr>
      <w:r>
        <w:rPr>
          <w:rFonts w:hint="eastAsia"/>
        </w:rPr>
        <w:t>业务监管管理模块应向监管部门提供药品数据，包括但不限于以下监管维度：</w:t>
      </w:r>
    </w:p>
    <w:p>
      <w:pPr>
        <w:pStyle w:val="65"/>
        <w:spacing w:before="156" w:after="156"/>
      </w:pPr>
      <w:bookmarkStart w:id="64" w:name="_Toc2483"/>
      <w:r>
        <w:rPr>
          <w:rFonts w:hint="eastAsia"/>
        </w:rPr>
        <w:t>生产监管</w:t>
      </w:r>
      <w:bookmarkEnd w:id="64"/>
    </w:p>
    <w:p>
      <w:pPr>
        <w:pStyle w:val="56"/>
        <w:ind w:firstLine="420"/>
      </w:pPr>
      <w:r>
        <w:rPr>
          <w:rFonts w:hint="eastAsia"/>
        </w:rPr>
        <w:t>应提供药品生产信息分析统计，包括生产企业药品的自检、收发货记录以及药品的召回历史记录。</w:t>
      </w:r>
    </w:p>
    <w:p>
      <w:pPr>
        <w:pStyle w:val="65"/>
        <w:spacing w:before="156" w:after="156"/>
      </w:pPr>
      <w:bookmarkStart w:id="65" w:name="_Toc21952"/>
      <w:r>
        <w:rPr>
          <w:rFonts w:hint="eastAsia"/>
        </w:rPr>
        <w:t>经营监管</w:t>
      </w:r>
      <w:bookmarkEnd w:id="65"/>
    </w:p>
    <w:p>
      <w:pPr>
        <w:pStyle w:val="56"/>
        <w:ind w:firstLine="420"/>
      </w:pPr>
      <w:r>
        <w:rPr>
          <w:rFonts w:hint="eastAsia"/>
        </w:rPr>
        <w:t>应提供药品经营的信息分析统计，包括但不限于药品经营企业信息展示、药品经营预警处理、药品出入库信息、药品收发货信息以及药品的零售信息。</w:t>
      </w:r>
    </w:p>
    <w:p>
      <w:pPr>
        <w:pStyle w:val="65"/>
        <w:spacing w:before="156" w:after="156"/>
      </w:pPr>
      <w:bookmarkStart w:id="66" w:name="_Toc14811"/>
      <w:r>
        <w:rPr>
          <w:rFonts w:hint="eastAsia"/>
        </w:rPr>
        <w:t>使用监管</w:t>
      </w:r>
      <w:bookmarkEnd w:id="66"/>
    </w:p>
    <w:p>
      <w:pPr>
        <w:pStyle w:val="56"/>
        <w:ind w:firstLine="420"/>
      </w:pPr>
      <w:r>
        <w:rPr>
          <w:rFonts w:hint="eastAsia"/>
        </w:rPr>
        <w:t>应提供药品使用的信息分析统计，包括但不限于使用单位的基本数据集信息、风险预警处理，以及收发货、销售记录信息展示。</w:t>
      </w:r>
    </w:p>
    <w:p>
      <w:pPr>
        <w:pStyle w:val="65"/>
        <w:spacing w:before="156" w:after="156"/>
      </w:pPr>
      <w:bookmarkStart w:id="67" w:name="_Toc19571"/>
      <w:r>
        <w:rPr>
          <w:rFonts w:hint="eastAsia"/>
        </w:rPr>
        <w:t>追溯监管</w:t>
      </w:r>
      <w:bookmarkEnd w:id="67"/>
    </w:p>
    <w:p>
      <w:pPr>
        <w:pStyle w:val="56"/>
        <w:ind w:firstLine="420"/>
      </w:pPr>
      <w:r>
        <w:rPr>
          <w:rFonts w:hint="eastAsia"/>
        </w:rPr>
        <w:t>应提供药品从生产、批发到零售的供应链查询，可从不同维度分析统计，便于检索；应包括但不限于药品批次追溯、药品内码查询、药品的流向查询，以及药品存储时温湿度信息。</w:t>
      </w:r>
    </w:p>
    <w:p>
      <w:pPr>
        <w:pStyle w:val="65"/>
        <w:spacing w:before="156" w:after="156"/>
      </w:pPr>
      <w:bookmarkStart w:id="68" w:name="_Toc20704"/>
      <w:r>
        <w:rPr>
          <w:rFonts w:hint="eastAsia"/>
        </w:rPr>
        <w:t>监管可视化</w:t>
      </w:r>
      <w:bookmarkEnd w:id="68"/>
    </w:p>
    <w:p>
      <w:pPr>
        <w:pStyle w:val="56"/>
        <w:ind w:firstLine="420"/>
      </w:pPr>
      <w:r>
        <w:rPr>
          <w:rFonts w:hint="eastAsia"/>
        </w:rPr>
        <w:t>宜采用多源异构数据融合、数据分析、动态地图、数据可视化、数字孪生等功能于一体的大数据智能分析平台，基于平台数据监管部门实现业务状况可感、可视，辅助判断趋势与决策响应。</w:t>
      </w:r>
    </w:p>
    <w:p>
      <w:pPr>
        <w:pStyle w:val="104"/>
        <w:spacing w:before="312" w:after="312"/>
      </w:pPr>
      <w:bookmarkStart w:id="69" w:name="_Toc25646"/>
      <w:r>
        <w:rPr>
          <w:rFonts w:hint="eastAsia"/>
        </w:rPr>
        <w:t>系统技术指标</w:t>
      </w:r>
      <w:bookmarkEnd w:id="69"/>
    </w:p>
    <w:p>
      <w:pPr>
        <w:pStyle w:val="105"/>
        <w:spacing w:before="156" w:after="156"/>
      </w:pPr>
      <w:bookmarkStart w:id="70" w:name="_Toc2291"/>
      <w:r>
        <w:rPr>
          <w:rFonts w:hint="eastAsia"/>
        </w:rPr>
        <w:t>区块链系统技术指标</w:t>
      </w:r>
      <w:bookmarkEnd w:id="70"/>
    </w:p>
    <w:p>
      <w:pPr>
        <w:pStyle w:val="56"/>
        <w:ind w:firstLine="420"/>
      </w:pPr>
      <w:r>
        <w:rPr>
          <w:rFonts w:hint="eastAsia"/>
        </w:rPr>
        <w:t>区块链系统作为平台底座，其账户体系、交易事务、区块、智能合约、区块链节点、共识算法、共享账本、上链信息内容以及日志等功能应具备完备性、正确性及适合性。</w:t>
      </w:r>
    </w:p>
    <w:p>
      <w:pPr>
        <w:pStyle w:val="56"/>
        <w:ind w:firstLine="420"/>
      </w:pPr>
      <w:r>
        <w:rPr>
          <w:rFonts w:hint="eastAsia"/>
        </w:rPr>
        <w:t>应包括但不限于以下要求：</w:t>
      </w:r>
    </w:p>
    <w:p>
      <w:pPr>
        <w:pStyle w:val="65"/>
        <w:spacing w:before="156" w:after="156"/>
      </w:pPr>
      <w:bookmarkStart w:id="71" w:name="_Toc32068"/>
      <w:r>
        <w:rPr>
          <w:rFonts w:hint="eastAsia"/>
        </w:rPr>
        <w:t>兼容性要求</w:t>
      </w:r>
      <w:bookmarkEnd w:id="71"/>
    </w:p>
    <w:p>
      <w:pPr>
        <w:pStyle w:val="56"/>
        <w:ind w:firstLine="420"/>
      </w:pPr>
      <w:r>
        <w:rPr>
          <w:rFonts w:hint="eastAsia"/>
        </w:rPr>
        <w:t>a)  区块链系统应具备兼容性，支持主流软硬件产品；</w:t>
      </w:r>
    </w:p>
    <w:p>
      <w:pPr>
        <w:pStyle w:val="56"/>
        <w:ind w:firstLine="420"/>
      </w:pPr>
      <w:r>
        <w:rPr>
          <w:rFonts w:hint="eastAsia"/>
        </w:rPr>
        <w:t>b)  区块链系统应支持跨链协同；</w:t>
      </w:r>
    </w:p>
    <w:p>
      <w:pPr>
        <w:pStyle w:val="56"/>
        <w:ind w:firstLine="420"/>
      </w:pPr>
      <w:r>
        <w:rPr>
          <w:rFonts w:hint="eastAsia"/>
        </w:rPr>
        <w:t>c)  区块链系统应兼容两种及以上共识算法；</w:t>
      </w:r>
    </w:p>
    <w:p>
      <w:pPr>
        <w:pStyle w:val="56"/>
        <w:ind w:firstLine="420"/>
      </w:pPr>
      <w:r>
        <w:rPr>
          <w:rFonts w:hint="eastAsia"/>
        </w:rPr>
        <w:t>d)  区块链系统底层数据库应支持主流数据库能力；</w:t>
      </w:r>
    </w:p>
    <w:p>
      <w:pPr>
        <w:pStyle w:val="56"/>
        <w:ind w:firstLine="420"/>
      </w:pPr>
      <w:r>
        <w:rPr>
          <w:rFonts w:hint="eastAsia"/>
        </w:rPr>
        <w:t>e)  区块链系统宜支持国密算法等，如SM2、SM等。</w:t>
      </w:r>
    </w:p>
    <w:p>
      <w:pPr>
        <w:pStyle w:val="65"/>
        <w:spacing w:before="156" w:after="156"/>
      </w:pPr>
      <w:bookmarkStart w:id="72" w:name="_Toc15458"/>
      <w:r>
        <w:rPr>
          <w:rFonts w:hint="eastAsia"/>
        </w:rPr>
        <w:t>性能要求</w:t>
      </w:r>
      <w:bookmarkEnd w:id="72"/>
    </w:p>
    <w:p>
      <w:pPr>
        <w:pStyle w:val="174"/>
        <w:numPr>
          <w:ilvl w:val="0"/>
          <w:numId w:val="33"/>
        </w:numPr>
        <w:ind w:left="-1" w:firstLine="420" w:firstLineChars="200"/>
      </w:pPr>
      <w:r>
        <w:rPr>
          <w:rFonts w:hint="eastAsia"/>
        </w:rPr>
        <w:t xml:space="preserve"> 区块链系统性能应不低于3000TPS；</w:t>
      </w:r>
    </w:p>
    <w:p>
      <w:pPr>
        <w:pStyle w:val="174"/>
        <w:numPr>
          <w:ilvl w:val="0"/>
          <w:numId w:val="33"/>
        </w:numPr>
        <w:ind w:left="-1" w:firstLine="420" w:firstLineChars="200"/>
      </w:pPr>
      <w:r>
        <w:rPr>
          <w:rFonts w:hint="eastAsia"/>
        </w:rPr>
        <w:t xml:space="preserve"> 区块链系统应具备网络搭建、节点增删、自动化部署、实例化、可视化、交易发起与查询、索引支持及区块链浏览器等支持能力；</w:t>
      </w:r>
    </w:p>
    <w:p>
      <w:pPr>
        <w:pStyle w:val="174"/>
        <w:numPr>
          <w:ilvl w:val="0"/>
          <w:numId w:val="33"/>
        </w:numPr>
        <w:ind w:left="-1" w:firstLine="420" w:firstLineChars="200"/>
      </w:pPr>
      <w:r>
        <w:rPr>
          <w:rFonts w:hint="eastAsia"/>
        </w:rPr>
        <w:t xml:space="preserve"> 区块链系统应具备容错性及易恢复性；</w:t>
      </w:r>
    </w:p>
    <w:p>
      <w:pPr>
        <w:pStyle w:val="174"/>
        <w:numPr>
          <w:ilvl w:val="0"/>
          <w:numId w:val="33"/>
        </w:numPr>
        <w:ind w:left="-1" w:firstLine="420" w:firstLineChars="200"/>
      </w:pPr>
      <w:r>
        <w:rPr>
          <w:rFonts w:hint="eastAsia"/>
        </w:rPr>
        <w:t xml:space="preserve"> 区块链系统在信息处理的全生命周期内应具备安全性；</w:t>
      </w:r>
    </w:p>
    <w:p>
      <w:pPr>
        <w:pStyle w:val="174"/>
        <w:numPr>
          <w:ilvl w:val="0"/>
          <w:numId w:val="33"/>
        </w:numPr>
        <w:ind w:left="-1" w:firstLine="420" w:firstLineChars="200"/>
      </w:pPr>
      <w:r>
        <w:rPr>
          <w:rFonts w:hint="eastAsia"/>
        </w:rPr>
        <w:t xml:space="preserve"> 区块链系统应具备模块化、可复用、易分析、易维护及易测试等可维护性。</w:t>
      </w:r>
    </w:p>
    <w:bookmarkEnd w:id="27"/>
    <w:p>
      <w:pPr>
        <w:pStyle w:val="104"/>
        <w:spacing w:before="312" w:after="312"/>
      </w:pPr>
      <w:bookmarkStart w:id="73" w:name="_Toc7945"/>
      <w:bookmarkStart w:id="74" w:name="_Toc168588585"/>
      <w:bookmarkStart w:id="75" w:name="BookMark7"/>
      <w:r>
        <w:rPr>
          <w:rFonts w:hint="eastAsia"/>
        </w:rPr>
        <w:t>数据安全</w:t>
      </w:r>
      <w:bookmarkEnd w:id="73"/>
      <w:bookmarkEnd w:id="74"/>
    </w:p>
    <w:p>
      <w:pPr>
        <w:pStyle w:val="56"/>
        <w:ind w:firstLine="420"/>
      </w:pPr>
      <w:r>
        <w:rPr>
          <w:rFonts w:hint="eastAsia"/>
        </w:rPr>
        <w:t>数据交换总体应满足GB/T 22239-2008中第三级安全要求相关规定。</w:t>
      </w:r>
    </w:p>
    <w:p>
      <w:pPr>
        <w:pStyle w:val="56"/>
        <w:numPr>
          <w:ilvl w:val="0"/>
          <w:numId w:val="34"/>
        </w:numPr>
        <w:ind w:firstLine="420"/>
      </w:pPr>
      <w:r>
        <w:rPr>
          <w:rFonts w:hint="eastAsia"/>
        </w:rPr>
        <w:t>应采用校验技术或密码技术保证通信过程中数据的完整性；</w:t>
      </w:r>
    </w:p>
    <w:p>
      <w:pPr>
        <w:pStyle w:val="56"/>
        <w:numPr>
          <w:ilvl w:val="0"/>
          <w:numId w:val="34"/>
        </w:numPr>
        <w:ind w:firstLine="420"/>
      </w:pPr>
      <w:r>
        <w:rPr>
          <w:rFonts w:hint="eastAsia"/>
        </w:rPr>
        <w:t>应采用密码技术保证通信过程中数据的保密性；</w:t>
      </w:r>
    </w:p>
    <w:p>
      <w:pPr>
        <w:pStyle w:val="56"/>
        <w:numPr>
          <w:ilvl w:val="0"/>
          <w:numId w:val="34"/>
        </w:numPr>
        <w:ind w:firstLine="420"/>
        <w:rPr>
          <w:rFonts w:hint="eastAsia"/>
        </w:rPr>
      </w:pPr>
      <w:r>
        <w:rPr>
          <w:rFonts w:hint="eastAsia"/>
        </w:rPr>
        <w:t>可对非授权系统或设备接入的行为进行检查或限制</w:t>
      </w:r>
      <w:bookmarkEnd w:id="75"/>
      <w:r>
        <w:rPr>
          <w:rFonts w:hint="eastAsia"/>
          <w:lang w:eastAsia="zh-CN"/>
        </w:rPr>
        <w:t>。</w:t>
      </w:r>
    </w:p>
    <w:p>
      <w:pPr>
        <w:tabs>
          <w:tab w:val="center" w:pos="4201"/>
          <w:tab w:val="right" w:leader="dot" w:pos="9298"/>
        </w:tabs>
        <w:jc w:val="center"/>
        <w:rPr>
          <w:color w:val="auto"/>
          <w:szCs w:val="22"/>
        </w:rPr>
      </w:pPr>
      <w:r>
        <w:rPr>
          <w:color w:val="auto"/>
        </w:rPr>
        <w:t>________________________________</w:t>
      </w:r>
    </w:p>
    <w:p>
      <w:pPr>
        <w:pStyle w:val="56"/>
        <w:numPr>
          <w:ilvl w:val="0"/>
          <w:numId w:val="0"/>
        </w:numPr>
        <w:rPr>
          <w:rFonts w:hint="eastAsia"/>
          <w:color w:val="auto"/>
        </w:rPr>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C4D4BB"/>
    <w:multiLevelType w:val="singleLevel"/>
    <w:tmpl w:val="94C4D4BB"/>
    <w:lvl w:ilvl="0" w:tentative="0">
      <w:start w:val="1"/>
      <w:numFmt w:val="lowerLetter"/>
      <w:suff w:val="space"/>
      <w:lvlText w:val="%1)"/>
      <w:lvlJc w:val="left"/>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18C8B07"/>
    <w:multiLevelType w:val="singleLevel"/>
    <w:tmpl w:val="218C8B07"/>
    <w:lvl w:ilvl="0" w:tentative="0">
      <w:start w:val="1"/>
      <w:numFmt w:val="lowerLetter"/>
      <w:suff w:val="space"/>
      <w:lvlText w:val="%1)"/>
      <w:lvlJc w:val="left"/>
    </w:lvl>
  </w:abstractNum>
  <w:abstractNum w:abstractNumId="12">
    <w:nsid w:val="2C5917C3"/>
    <w:multiLevelType w:val="multilevel"/>
    <w:tmpl w:val="2C5917C3"/>
    <w:lvl w:ilvl="0" w:tentative="0">
      <w:start w:val="1"/>
      <w:numFmt w:val="none"/>
      <w:pStyle w:val="231"/>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32"/>
  </w:num>
  <w:num w:numId="22">
    <w:abstractNumId w:val="22"/>
  </w:num>
  <w:num w:numId="23">
    <w:abstractNumId w:val="7"/>
  </w:num>
  <w:num w:numId="24">
    <w:abstractNumId w:val="12"/>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dit="forms" w:enforcement="1" w:cryptProviderType="rsaAES" w:cryptAlgorithmClass="hash" w:cryptAlgorithmType="typeAny" w:cryptAlgorithmSid="14" w:cryptSpinCount="100000" w:hash="tAh2iL/5fpMC4SoKYPqals81q8GXbWJ+JeQdX80D7XMEr1okptcQAu3OSf/nKaE21l4Gey0hFMjOrXWg0nd50g==" w:salt="PlqrmSSbyCiediN3tG+Xn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JmMWQ0ZjE0MjQwOGM3M2FkNTlhOTc3NGU4YTZiNDgifQ=="/>
  </w:docVars>
  <w:rsids>
    <w:rsidRoot w:val="004111FA"/>
    <w:rsid w:val="0000040A"/>
    <w:rsid w:val="00000A94"/>
    <w:rsid w:val="00001972"/>
    <w:rsid w:val="00001D9A"/>
    <w:rsid w:val="00007B3A"/>
    <w:rsid w:val="000107E0"/>
    <w:rsid w:val="00010F6E"/>
    <w:rsid w:val="00011A7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9F8"/>
    <w:rsid w:val="00053BD3"/>
    <w:rsid w:val="000556ED"/>
    <w:rsid w:val="00055FE2"/>
    <w:rsid w:val="0005616F"/>
    <w:rsid w:val="00060C2E"/>
    <w:rsid w:val="00061033"/>
    <w:rsid w:val="00061228"/>
    <w:rsid w:val="000619E9"/>
    <w:rsid w:val="000622D4"/>
    <w:rsid w:val="0006357D"/>
    <w:rsid w:val="00064C74"/>
    <w:rsid w:val="00067F1E"/>
    <w:rsid w:val="00071CC0"/>
    <w:rsid w:val="00073C8C"/>
    <w:rsid w:val="000741D4"/>
    <w:rsid w:val="0007799E"/>
    <w:rsid w:val="00077B64"/>
    <w:rsid w:val="00080A1C"/>
    <w:rsid w:val="00082317"/>
    <w:rsid w:val="0008308A"/>
    <w:rsid w:val="00083D2C"/>
    <w:rsid w:val="00086AA1"/>
    <w:rsid w:val="00087A77"/>
    <w:rsid w:val="00090CA6"/>
    <w:rsid w:val="00091916"/>
    <w:rsid w:val="00092B8A"/>
    <w:rsid w:val="00092FB0"/>
    <w:rsid w:val="000934C5"/>
    <w:rsid w:val="00093D25"/>
    <w:rsid w:val="00093DAB"/>
    <w:rsid w:val="00094D73"/>
    <w:rsid w:val="0009684D"/>
    <w:rsid w:val="00096D63"/>
    <w:rsid w:val="000A082D"/>
    <w:rsid w:val="000A0B60"/>
    <w:rsid w:val="000A0EB8"/>
    <w:rsid w:val="000A19FC"/>
    <w:rsid w:val="000A296B"/>
    <w:rsid w:val="000A7311"/>
    <w:rsid w:val="000B060F"/>
    <w:rsid w:val="000B1592"/>
    <w:rsid w:val="000B16EF"/>
    <w:rsid w:val="000B1FF2"/>
    <w:rsid w:val="000B3CDA"/>
    <w:rsid w:val="000B407D"/>
    <w:rsid w:val="000B6A0B"/>
    <w:rsid w:val="000C0F6C"/>
    <w:rsid w:val="000C11DB"/>
    <w:rsid w:val="000C1492"/>
    <w:rsid w:val="000C2FBD"/>
    <w:rsid w:val="000C4856"/>
    <w:rsid w:val="000C4B41"/>
    <w:rsid w:val="000C57D6"/>
    <w:rsid w:val="000C6362"/>
    <w:rsid w:val="000C7666"/>
    <w:rsid w:val="000D0A9C"/>
    <w:rsid w:val="000D1795"/>
    <w:rsid w:val="000D2A58"/>
    <w:rsid w:val="000D329A"/>
    <w:rsid w:val="000D4B9C"/>
    <w:rsid w:val="000D4EB6"/>
    <w:rsid w:val="000D753B"/>
    <w:rsid w:val="000E2C58"/>
    <w:rsid w:val="000E4C9E"/>
    <w:rsid w:val="000E6FD7"/>
    <w:rsid w:val="000F06E1"/>
    <w:rsid w:val="000F0E3C"/>
    <w:rsid w:val="000F19D5"/>
    <w:rsid w:val="000F4AEA"/>
    <w:rsid w:val="000F633F"/>
    <w:rsid w:val="000F67E9"/>
    <w:rsid w:val="00104926"/>
    <w:rsid w:val="00110F57"/>
    <w:rsid w:val="00113B1E"/>
    <w:rsid w:val="0011711C"/>
    <w:rsid w:val="0012059C"/>
    <w:rsid w:val="00124E4F"/>
    <w:rsid w:val="001260B7"/>
    <w:rsid w:val="001265CB"/>
    <w:rsid w:val="00132103"/>
    <w:rsid w:val="001321C6"/>
    <w:rsid w:val="001325C4"/>
    <w:rsid w:val="00133010"/>
    <w:rsid w:val="001338EE"/>
    <w:rsid w:val="00133AAE"/>
    <w:rsid w:val="00135323"/>
    <w:rsid w:val="001356C4"/>
    <w:rsid w:val="00135C73"/>
    <w:rsid w:val="00140129"/>
    <w:rsid w:val="00141114"/>
    <w:rsid w:val="00142169"/>
    <w:rsid w:val="00142969"/>
    <w:rsid w:val="001446C2"/>
    <w:rsid w:val="001457E7"/>
    <w:rsid w:val="00145D9D"/>
    <w:rsid w:val="00146388"/>
    <w:rsid w:val="001525E2"/>
    <w:rsid w:val="001529E5"/>
    <w:rsid w:val="00153C7E"/>
    <w:rsid w:val="00155D22"/>
    <w:rsid w:val="00156B25"/>
    <w:rsid w:val="00156E1A"/>
    <w:rsid w:val="00157894"/>
    <w:rsid w:val="00157B55"/>
    <w:rsid w:val="001642FA"/>
    <w:rsid w:val="001649EB"/>
    <w:rsid w:val="00164BAF"/>
    <w:rsid w:val="00164EF6"/>
    <w:rsid w:val="00164FA8"/>
    <w:rsid w:val="00165065"/>
    <w:rsid w:val="00165434"/>
    <w:rsid w:val="0016580B"/>
    <w:rsid w:val="00165F49"/>
    <w:rsid w:val="00166B88"/>
    <w:rsid w:val="0016770A"/>
    <w:rsid w:val="00170804"/>
    <w:rsid w:val="001708E9"/>
    <w:rsid w:val="0017340B"/>
    <w:rsid w:val="00173FB1"/>
    <w:rsid w:val="00176DFD"/>
    <w:rsid w:val="001833C1"/>
    <w:rsid w:val="001852C9"/>
    <w:rsid w:val="00190087"/>
    <w:rsid w:val="001913C4"/>
    <w:rsid w:val="0019348F"/>
    <w:rsid w:val="00193A07"/>
    <w:rsid w:val="00194C95"/>
    <w:rsid w:val="00195C34"/>
    <w:rsid w:val="00196EF5"/>
    <w:rsid w:val="001A0A5F"/>
    <w:rsid w:val="001A1A53"/>
    <w:rsid w:val="001A234A"/>
    <w:rsid w:val="001A4CF3"/>
    <w:rsid w:val="001A692E"/>
    <w:rsid w:val="001B06E8"/>
    <w:rsid w:val="001B10CF"/>
    <w:rsid w:val="001B71D0"/>
    <w:rsid w:val="001B71EE"/>
    <w:rsid w:val="001C04A8"/>
    <w:rsid w:val="001C2C03"/>
    <w:rsid w:val="001C42F7"/>
    <w:rsid w:val="001C49E5"/>
    <w:rsid w:val="001C680C"/>
    <w:rsid w:val="001C7FEA"/>
    <w:rsid w:val="001D0499"/>
    <w:rsid w:val="001D0AF7"/>
    <w:rsid w:val="001D0BBE"/>
    <w:rsid w:val="001D0ED4"/>
    <w:rsid w:val="001D212F"/>
    <w:rsid w:val="001D29D7"/>
    <w:rsid w:val="001D2DE7"/>
    <w:rsid w:val="001D37CE"/>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6A0E"/>
    <w:rsid w:val="00210B15"/>
    <w:rsid w:val="002142EA"/>
    <w:rsid w:val="002204BB"/>
    <w:rsid w:val="00221B79"/>
    <w:rsid w:val="00221C6B"/>
    <w:rsid w:val="00225258"/>
    <w:rsid w:val="002253A1"/>
    <w:rsid w:val="00225CF8"/>
    <w:rsid w:val="0022794E"/>
    <w:rsid w:val="00233D64"/>
    <w:rsid w:val="0023482A"/>
    <w:rsid w:val="002359CB"/>
    <w:rsid w:val="00243540"/>
    <w:rsid w:val="00243EA6"/>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2A60"/>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3E"/>
    <w:rsid w:val="002A7360"/>
    <w:rsid w:val="002A757F"/>
    <w:rsid w:val="002A7F44"/>
    <w:rsid w:val="002B0C40"/>
    <w:rsid w:val="002B1966"/>
    <w:rsid w:val="002B4508"/>
    <w:rsid w:val="002B5779"/>
    <w:rsid w:val="002B6FD4"/>
    <w:rsid w:val="002B7332"/>
    <w:rsid w:val="002B7F51"/>
    <w:rsid w:val="002C09E7"/>
    <w:rsid w:val="002C1E06"/>
    <w:rsid w:val="002C1E1C"/>
    <w:rsid w:val="002C3F07"/>
    <w:rsid w:val="002C5278"/>
    <w:rsid w:val="002C57ED"/>
    <w:rsid w:val="002C6A3B"/>
    <w:rsid w:val="002C7EBB"/>
    <w:rsid w:val="002D06C1"/>
    <w:rsid w:val="002D42B5"/>
    <w:rsid w:val="002D4F1A"/>
    <w:rsid w:val="002D650C"/>
    <w:rsid w:val="002D6EC6"/>
    <w:rsid w:val="002D79AC"/>
    <w:rsid w:val="002E039D"/>
    <w:rsid w:val="002E4D5A"/>
    <w:rsid w:val="002E6326"/>
    <w:rsid w:val="002F30E0"/>
    <w:rsid w:val="002F35E4"/>
    <w:rsid w:val="002F3730"/>
    <w:rsid w:val="002F38E1"/>
    <w:rsid w:val="002F7AF6"/>
    <w:rsid w:val="00300E63"/>
    <w:rsid w:val="00301DCC"/>
    <w:rsid w:val="00302F5F"/>
    <w:rsid w:val="0030441D"/>
    <w:rsid w:val="0030578C"/>
    <w:rsid w:val="00306063"/>
    <w:rsid w:val="00313B85"/>
    <w:rsid w:val="003148ED"/>
    <w:rsid w:val="00317988"/>
    <w:rsid w:val="00320DE8"/>
    <w:rsid w:val="003221B4"/>
    <w:rsid w:val="0032258D"/>
    <w:rsid w:val="00322E62"/>
    <w:rsid w:val="00324D13"/>
    <w:rsid w:val="00324D2A"/>
    <w:rsid w:val="00324EDD"/>
    <w:rsid w:val="003303CF"/>
    <w:rsid w:val="003331E4"/>
    <w:rsid w:val="00336C64"/>
    <w:rsid w:val="003370CA"/>
    <w:rsid w:val="00337162"/>
    <w:rsid w:val="00341657"/>
    <w:rsid w:val="0034194F"/>
    <w:rsid w:val="00344605"/>
    <w:rsid w:val="003474AA"/>
    <w:rsid w:val="00350D1D"/>
    <w:rsid w:val="00352C83"/>
    <w:rsid w:val="0036058B"/>
    <w:rsid w:val="003615D2"/>
    <w:rsid w:val="003631B1"/>
    <w:rsid w:val="0036429C"/>
    <w:rsid w:val="00364A53"/>
    <w:rsid w:val="003654CB"/>
    <w:rsid w:val="00365AA9"/>
    <w:rsid w:val="00365F86"/>
    <w:rsid w:val="00365F87"/>
    <w:rsid w:val="00366E89"/>
    <w:rsid w:val="003705F4"/>
    <w:rsid w:val="00370D58"/>
    <w:rsid w:val="00371316"/>
    <w:rsid w:val="003714B7"/>
    <w:rsid w:val="00376713"/>
    <w:rsid w:val="00381815"/>
    <w:rsid w:val="003819AF"/>
    <w:rsid w:val="003820E9"/>
    <w:rsid w:val="00382DE7"/>
    <w:rsid w:val="00384FFC"/>
    <w:rsid w:val="00385A8C"/>
    <w:rsid w:val="003872FC"/>
    <w:rsid w:val="00387ADC"/>
    <w:rsid w:val="00390020"/>
    <w:rsid w:val="003903D6"/>
    <w:rsid w:val="003907E6"/>
    <w:rsid w:val="00390EE6"/>
    <w:rsid w:val="0039118F"/>
    <w:rsid w:val="003913D1"/>
    <w:rsid w:val="003913D4"/>
    <w:rsid w:val="00392AD7"/>
    <w:rsid w:val="00392B34"/>
    <w:rsid w:val="003938D9"/>
    <w:rsid w:val="00394376"/>
    <w:rsid w:val="003943FF"/>
    <w:rsid w:val="00395700"/>
    <w:rsid w:val="003974EB"/>
    <w:rsid w:val="00397A0C"/>
    <w:rsid w:val="00397CC5"/>
    <w:rsid w:val="003A1582"/>
    <w:rsid w:val="003A4077"/>
    <w:rsid w:val="003A764E"/>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436"/>
    <w:rsid w:val="003E49F6"/>
    <w:rsid w:val="003E5674"/>
    <w:rsid w:val="003E660F"/>
    <w:rsid w:val="003F0841"/>
    <w:rsid w:val="003F23D3"/>
    <w:rsid w:val="003F3F08"/>
    <w:rsid w:val="003F49F1"/>
    <w:rsid w:val="003F6272"/>
    <w:rsid w:val="00400E72"/>
    <w:rsid w:val="00401400"/>
    <w:rsid w:val="00401FD4"/>
    <w:rsid w:val="00404869"/>
    <w:rsid w:val="00405884"/>
    <w:rsid w:val="00405890"/>
    <w:rsid w:val="00407D39"/>
    <w:rsid w:val="004111FA"/>
    <w:rsid w:val="0041477A"/>
    <w:rsid w:val="004167A3"/>
    <w:rsid w:val="00432DAA"/>
    <w:rsid w:val="00434305"/>
    <w:rsid w:val="00435DF7"/>
    <w:rsid w:val="0044083F"/>
    <w:rsid w:val="00441AE7"/>
    <w:rsid w:val="00442039"/>
    <w:rsid w:val="004423AE"/>
    <w:rsid w:val="00445574"/>
    <w:rsid w:val="00445917"/>
    <w:rsid w:val="004467FB"/>
    <w:rsid w:val="00452D6B"/>
    <w:rsid w:val="00454484"/>
    <w:rsid w:val="0045517B"/>
    <w:rsid w:val="00463B77"/>
    <w:rsid w:val="00463C7B"/>
    <w:rsid w:val="004644A6"/>
    <w:rsid w:val="004659BD"/>
    <w:rsid w:val="00470775"/>
    <w:rsid w:val="004746B1"/>
    <w:rsid w:val="0047583F"/>
    <w:rsid w:val="00475DE8"/>
    <w:rsid w:val="00480EEA"/>
    <w:rsid w:val="00481C44"/>
    <w:rsid w:val="00484936"/>
    <w:rsid w:val="00485C89"/>
    <w:rsid w:val="00486443"/>
    <w:rsid w:val="00486BE3"/>
    <w:rsid w:val="004905E4"/>
    <w:rsid w:val="00490A89"/>
    <w:rsid w:val="00490AB4"/>
    <w:rsid w:val="00492F02"/>
    <w:rsid w:val="004939AE"/>
    <w:rsid w:val="00493E2D"/>
    <w:rsid w:val="004A0B98"/>
    <w:rsid w:val="004A12DF"/>
    <w:rsid w:val="004A17E6"/>
    <w:rsid w:val="004A1BA8"/>
    <w:rsid w:val="004A4B57"/>
    <w:rsid w:val="004A553E"/>
    <w:rsid w:val="004A63FA"/>
    <w:rsid w:val="004B0272"/>
    <w:rsid w:val="004B2701"/>
    <w:rsid w:val="004B2E1B"/>
    <w:rsid w:val="004B3AA8"/>
    <w:rsid w:val="004B3E93"/>
    <w:rsid w:val="004C139E"/>
    <w:rsid w:val="004C1FBC"/>
    <w:rsid w:val="004C3F1D"/>
    <w:rsid w:val="004C458D"/>
    <w:rsid w:val="004C7556"/>
    <w:rsid w:val="004C7E8B"/>
    <w:rsid w:val="004C7E9D"/>
    <w:rsid w:val="004C7F67"/>
    <w:rsid w:val="004D076D"/>
    <w:rsid w:val="004D0EF1"/>
    <w:rsid w:val="004D2253"/>
    <w:rsid w:val="004D4284"/>
    <w:rsid w:val="004D4406"/>
    <w:rsid w:val="004D7C42"/>
    <w:rsid w:val="004E0465"/>
    <w:rsid w:val="004E127B"/>
    <w:rsid w:val="004E1C0A"/>
    <w:rsid w:val="004E2B06"/>
    <w:rsid w:val="004E30C5"/>
    <w:rsid w:val="004E4AA5"/>
    <w:rsid w:val="004E4AEE"/>
    <w:rsid w:val="004E59E3"/>
    <w:rsid w:val="004E67C0"/>
    <w:rsid w:val="004F08E0"/>
    <w:rsid w:val="004F391A"/>
    <w:rsid w:val="004F3B80"/>
    <w:rsid w:val="004F3CFB"/>
    <w:rsid w:val="004F6456"/>
    <w:rsid w:val="004F65B7"/>
    <w:rsid w:val="004F696E"/>
    <w:rsid w:val="004F6C71"/>
    <w:rsid w:val="00501139"/>
    <w:rsid w:val="005026E6"/>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9FF"/>
    <w:rsid w:val="00541853"/>
    <w:rsid w:val="00543BDA"/>
    <w:rsid w:val="005441CC"/>
    <w:rsid w:val="005479DA"/>
    <w:rsid w:val="00547BCC"/>
    <w:rsid w:val="0055013B"/>
    <w:rsid w:val="005512F8"/>
    <w:rsid w:val="00551F6F"/>
    <w:rsid w:val="00555044"/>
    <w:rsid w:val="00561475"/>
    <w:rsid w:val="00561B42"/>
    <w:rsid w:val="00562532"/>
    <w:rsid w:val="0056487B"/>
    <w:rsid w:val="00564FB9"/>
    <w:rsid w:val="00573D9E"/>
    <w:rsid w:val="0057406E"/>
    <w:rsid w:val="005801E3"/>
    <w:rsid w:val="00581802"/>
    <w:rsid w:val="005836A8"/>
    <w:rsid w:val="00583840"/>
    <w:rsid w:val="0058409C"/>
    <w:rsid w:val="00584262"/>
    <w:rsid w:val="00586630"/>
    <w:rsid w:val="00587ADD"/>
    <w:rsid w:val="00591E27"/>
    <w:rsid w:val="00596160"/>
    <w:rsid w:val="005966E2"/>
    <w:rsid w:val="00597007"/>
    <w:rsid w:val="005A0966"/>
    <w:rsid w:val="005A11B7"/>
    <w:rsid w:val="005A2606"/>
    <w:rsid w:val="005A260B"/>
    <w:rsid w:val="005A4A1B"/>
    <w:rsid w:val="005A66C8"/>
    <w:rsid w:val="005A7830"/>
    <w:rsid w:val="005A7FCE"/>
    <w:rsid w:val="005B05D3"/>
    <w:rsid w:val="005B0B7B"/>
    <w:rsid w:val="005B0F3F"/>
    <w:rsid w:val="005B4903"/>
    <w:rsid w:val="005B51CE"/>
    <w:rsid w:val="005B5885"/>
    <w:rsid w:val="005B5CD7"/>
    <w:rsid w:val="005B6CF6"/>
    <w:rsid w:val="005B7422"/>
    <w:rsid w:val="005C29B8"/>
    <w:rsid w:val="005C5F21"/>
    <w:rsid w:val="005C7156"/>
    <w:rsid w:val="005D0C75"/>
    <w:rsid w:val="005D4171"/>
    <w:rsid w:val="005D5193"/>
    <w:rsid w:val="005D6A95"/>
    <w:rsid w:val="005D6B2C"/>
    <w:rsid w:val="005D6D9C"/>
    <w:rsid w:val="005E2335"/>
    <w:rsid w:val="005E279B"/>
    <w:rsid w:val="005E34CA"/>
    <w:rsid w:val="005E3C18"/>
    <w:rsid w:val="005E6812"/>
    <w:rsid w:val="005E7881"/>
    <w:rsid w:val="005E78E0"/>
    <w:rsid w:val="005F0D9C"/>
    <w:rsid w:val="005F1464"/>
    <w:rsid w:val="005F21EE"/>
    <w:rsid w:val="005F284E"/>
    <w:rsid w:val="005F4712"/>
    <w:rsid w:val="006015CE"/>
    <w:rsid w:val="00603543"/>
    <w:rsid w:val="00604784"/>
    <w:rsid w:val="00606419"/>
    <w:rsid w:val="00607D29"/>
    <w:rsid w:val="00612952"/>
    <w:rsid w:val="00614CC1"/>
    <w:rsid w:val="00615A9D"/>
    <w:rsid w:val="00617387"/>
    <w:rsid w:val="006205D6"/>
    <w:rsid w:val="0062174C"/>
    <w:rsid w:val="006252D8"/>
    <w:rsid w:val="006259BC"/>
    <w:rsid w:val="0062636B"/>
    <w:rsid w:val="00632182"/>
    <w:rsid w:val="00632AE0"/>
    <w:rsid w:val="00633C17"/>
    <w:rsid w:val="00634D9E"/>
    <w:rsid w:val="00636E3E"/>
    <w:rsid w:val="006379F7"/>
    <w:rsid w:val="00637E4D"/>
    <w:rsid w:val="00640620"/>
    <w:rsid w:val="00641A1F"/>
    <w:rsid w:val="00643784"/>
    <w:rsid w:val="00645904"/>
    <w:rsid w:val="00651ACB"/>
    <w:rsid w:val="00651C47"/>
    <w:rsid w:val="00652AB2"/>
    <w:rsid w:val="00653FED"/>
    <w:rsid w:val="00654EC0"/>
    <w:rsid w:val="0065525B"/>
    <w:rsid w:val="00655D4F"/>
    <w:rsid w:val="00656D29"/>
    <w:rsid w:val="00656F6F"/>
    <w:rsid w:val="006640E5"/>
    <w:rsid w:val="006646F1"/>
    <w:rsid w:val="00664929"/>
    <w:rsid w:val="00664F62"/>
    <w:rsid w:val="006655E1"/>
    <w:rsid w:val="00672060"/>
    <w:rsid w:val="00672BFD"/>
    <w:rsid w:val="00673AC9"/>
    <w:rsid w:val="006770F4"/>
    <w:rsid w:val="006776BB"/>
    <w:rsid w:val="00677A84"/>
    <w:rsid w:val="0068026D"/>
    <w:rsid w:val="00680A27"/>
    <w:rsid w:val="006816A4"/>
    <w:rsid w:val="006819B8"/>
    <w:rsid w:val="00681BB4"/>
    <w:rsid w:val="006832F6"/>
    <w:rsid w:val="006840A6"/>
    <w:rsid w:val="006842EF"/>
    <w:rsid w:val="006850CD"/>
    <w:rsid w:val="00685AAB"/>
    <w:rsid w:val="00693A85"/>
    <w:rsid w:val="00695D22"/>
    <w:rsid w:val="006A07AA"/>
    <w:rsid w:val="006A25E5"/>
    <w:rsid w:val="006A2B46"/>
    <w:rsid w:val="006A336D"/>
    <w:rsid w:val="006A37B9"/>
    <w:rsid w:val="006A434A"/>
    <w:rsid w:val="006A7621"/>
    <w:rsid w:val="006B125B"/>
    <w:rsid w:val="006B2672"/>
    <w:rsid w:val="006B2D63"/>
    <w:rsid w:val="006B54BF"/>
    <w:rsid w:val="006B5F44"/>
    <w:rsid w:val="006B5F90"/>
    <w:rsid w:val="006B62E4"/>
    <w:rsid w:val="006C1BBA"/>
    <w:rsid w:val="006C2079"/>
    <w:rsid w:val="006C28F9"/>
    <w:rsid w:val="006C5A62"/>
    <w:rsid w:val="006C5B5C"/>
    <w:rsid w:val="006C5D68"/>
    <w:rsid w:val="006C6976"/>
    <w:rsid w:val="006C6DD0"/>
    <w:rsid w:val="006D04EA"/>
    <w:rsid w:val="006D0AB7"/>
    <w:rsid w:val="006D116F"/>
    <w:rsid w:val="006D16C4"/>
    <w:rsid w:val="006D3E96"/>
    <w:rsid w:val="006D4515"/>
    <w:rsid w:val="006D4BB1"/>
    <w:rsid w:val="006D6593"/>
    <w:rsid w:val="006E2099"/>
    <w:rsid w:val="006E23EA"/>
    <w:rsid w:val="006F0211"/>
    <w:rsid w:val="006F03A8"/>
    <w:rsid w:val="006F2ACA"/>
    <w:rsid w:val="006F2ADC"/>
    <w:rsid w:val="006F2BFE"/>
    <w:rsid w:val="006F31E9"/>
    <w:rsid w:val="006F6284"/>
    <w:rsid w:val="007002C5"/>
    <w:rsid w:val="00704387"/>
    <w:rsid w:val="00705663"/>
    <w:rsid w:val="00707669"/>
    <w:rsid w:val="00711CBA"/>
    <w:rsid w:val="00711FB5"/>
    <w:rsid w:val="00712A01"/>
    <w:rsid w:val="00714F58"/>
    <w:rsid w:val="00717557"/>
    <w:rsid w:val="00722FBF"/>
    <w:rsid w:val="00722FC2"/>
    <w:rsid w:val="00724879"/>
    <w:rsid w:val="00724E1B"/>
    <w:rsid w:val="00725949"/>
    <w:rsid w:val="00727FA2"/>
    <w:rsid w:val="007322D9"/>
    <w:rsid w:val="00732BC0"/>
    <w:rsid w:val="0073720F"/>
    <w:rsid w:val="00737796"/>
    <w:rsid w:val="0074165C"/>
    <w:rsid w:val="00742C35"/>
    <w:rsid w:val="007432CA"/>
    <w:rsid w:val="00743631"/>
    <w:rsid w:val="007439EB"/>
    <w:rsid w:val="00743CB4"/>
    <w:rsid w:val="00743F0A"/>
    <w:rsid w:val="007444E8"/>
    <w:rsid w:val="0074548E"/>
    <w:rsid w:val="00745773"/>
    <w:rsid w:val="00746800"/>
    <w:rsid w:val="007501A8"/>
    <w:rsid w:val="00750D61"/>
    <w:rsid w:val="00750EE1"/>
    <w:rsid w:val="00752811"/>
    <w:rsid w:val="00752B4D"/>
    <w:rsid w:val="007550CF"/>
    <w:rsid w:val="00755402"/>
    <w:rsid w:val="00756B26"/>
    <w:rsid w:val="00756EDF"/>
    <w:rsid w:val="007600E3"/>
    <w:rsid w:val="007621F9"/>
    <w:rsid w:val="00765C43"/>
    <w:rsid w:val="00765EFB"/>
    <w:rsid w:val="007671CA"/>
    <w:rsid w:val="00767C61"/>
    <w:rsid w:val="0077008A"/>
    <w:rsid w:val="00770DB8"/>
    <w:rsid w:val="00773C1F"/>
    <w:rsid w:val="00774DA4"/>
    <w:rsid w:val="00776599"/>
    <w:rsid w:val="007765FE"/>
    <w:rsid w:val="0078114B"/>
    <w:rsid w:val="00781DD2"/>
    <w:rsid w:val="00782229"/>
    <w:rsid w:val="00783ECF"/>
    <w:rsid w:val="0078413A"/>
    <w:rsid w:val="00793659"/>
    <w:rsid w:val="007959E8"/>
    <w:rsid w:val="00795E9C"/>
    <w:rsid w:val="007A0521"/>
    <w:rsid w:val="007A06B1"/>
    <w:rsid w:val="007A2E12"/>
    <w:rsid w:val="007A3475"/>
    <w:rsid w:val="007A41C8"/>
    <w:rsid w:val="007A54CE"/>
    <w:rsid w:val="007A6FD9"/>
    <w:rsid w:val="007A7FFA"/>
    <w:rsid w:val="007B04EB"/>
    <w:rsid w:val="007B0D4F"/>
    <w:rsid w:val="007B0F14"/>
    <w:rsid w:val="007B5A3D"/>
    <w:rsid w:val="007B5B95"/>
    <w:rsid w:val="007B68EA"/>
    <w:rsid w:val="007B7453"/>
    <w:rsid w:val="007C1E8B"/>
    <w:rsid w:val="007C2D89"/>
    <w:rsid w:val="007C4593"/>
    <w:rsid w:val="007C5309"/>
    <w:rsid w:val="007C6069"/>
    <w:rsid w:val="007C773D"/>
    <w:rsid w:val="007D06C4"/>
    <w:rsid w:val="007D1352"/>
    <w:rsid w:val="007D2508"/>
    <w:rsid w:val="007D346A"/>
    <w:rsid w:val="007D6518"/>
    <w:rsid w:val="007D6E1A"/>
    <w:rsid w:val="007D76BD"/>
    <w:rsid w:val="007E0BF1"/>
    <w:rsid w:val="007E3874"/>
    <w:rsid w:val="007F0ED8"/>
    <w:rsid w:val="007F0F63"/>
    <w:rsid w:val="007F75CE"/>
    <w:rsid w:val="00800D2F"/>
    <w:rsid w:val="008013A4"/>
    <w:rsid w:val="008027CE"/>
    <w:rsid w:val="00802F42"/>
    <w:rsid w:val="00804383"/>
    <w:rsid w:val="00804BB7"/>
    <w:rsid w:val="00804D41"/>
    <w:rsid w:val="00810257"/>
    <w:rsid w:val="008104F5"/>
    <w:rsid w:val="00811072"/>
    <w:rsid w:val="00811369"/>
    <w:rsid w:val="00815419"/>
    <w:rsid w:val="008156DE"/>
    <w:rsid w:val="008163C8"/>
    <w:rsid w:val="008164A1"/>
    <w:rsid w:val="00817325"/>
    <w:rsid w:val="008209E6"/>
    <w:rsid w:val="00823303"/>
    <w:rsid w:val="008233B2"/>
    <w:rsid w:val="00823A9F"/>
    <w:rsid w:val="00823B39"/>
    <w:rsid w:val="00823C85"/>
    <w:rsid w:val="00825138"/>
    <w:rsid w:val="008269DD"/>
    <w:rsid w:val="00830621"/>
    <w:rsid w:val="00832321"/>
    <w:rsid w:val="00832E11"/>
    <w:rsid w:val="0083348C"/>
    <w:rsid w:val="008373D3"/>
    <w:rsid w:val="008376CC"/>
    <w:rsid w:val="00840617"/>
    <w:rsid w:val="00840F84"/>
    <w:rsid w:val="00842A47"/>
    <w:rsid w:val="00843C13"/>
    <w:rsid w:val="008454F8"/>
    <w:rsid w:val="0085173A"/>
    <w:rsid w:val="00856316"/>
    <w:rsid w:val="008603CE"/>
    <w:rsid w:val="008620FC"/>
    <w:rsid w:val="008627A5"/>
    <w:rsid w:val="00863DCB"/>
    <w:rsid w:val="00863E05"/>
    <w:rsid w:val="00865ACA"/>
    <w:rsid w:val="00865D28"/>
    <w:rsid w:val="00865F85"/>
    <w:rsid w:val="00867C10"/>
    <w:rsid w:val="00870439"/>
    <w:rsid w:val="00870DA1"/>
    <w:rsid w:val="008809E2"/>
    <w:rsid w:val="008810CC"/>
    <w:rsid w:val="00883F93"/>
    <w:rsid w:val="00884DB3"/>
    <w:rsid w:val="00885A9D"/>
    <w:rsid w:val="008864F6"/>
    <w:rsid w:val="0089049D"/>
    <w:rsid w:val="00890C72"/>
    <w:rsid w:val="008928C9"/>
    <w:rsid w:val="008930CB"/>
    <w:rsid w:val="008938DC"/>
    <w:rsid w:val="00893A09"/>
    <w:rsid w:val="00893FD1"/>
    <w:rsid w:val="00894836"/>
    <w:rsid w:val="00895172"/>
    <w:rsid w:val="00895680"/>
    <w:rsid w:val="00896DFF"/>
    <w:rsid w:val="0089762C"/>
    <w:rsid w:val="008A1893"/>
    <w:rsid w:val="008A3215"/>
    <w:rsid w:val="008A57E6"/>
    <w:rsid w:val="008A6F81"/>
    <w:rsid w:val="008A7387"/>
    <w:rsid w:val="008A769A"/>
    <w:rsid w:val="008B0C9C"/>
    <w:rsid w:val="008B166D"/>
    <w:rsid w:val="008B17F4"/>
    <w:rsid w:val="008B3615"/>
    <w:rsid w:val="008B4AC4"/>
    <w:rsid w:val="008B50C8"/>
    <w:rsid w:val="008B5281"/>
    <w:rsid w:val="008B7E05"/>
    <w:rsid w:val="008C017A"/>
    <w:rsid w:val="008C1797"/>
    <w:rsid w:val="008C18A9"/>
    <w:rsid w:val="008C219C"/>
    <w:rsid w:val="008C475E"/>
    <w:rsid w:val="008C619A"/>
    <w:rsid w:val="008D0CE8"/>
    <w:rsid w:val="008D2D1D"/>
    <w:rsid w:val="008D453D"/>
    <w:rsid w:val="008D53AD"/>
    <w:rsid w:val="008D562B"/>
    <w:rsid w:val="008D5733"/>
    <w:rsid w:val="008D5F4E"/>
    <w:rsid w:val="008D622B"/>
    <w:rsid w:val="008D666C"/>
    <w:rsid w:val="008D7B54"/>
    <w:rsid w:val="008E0C9D"/>
    <w:rsid w:val="008E1648"/>
    <w:rsid w:val="008E1B3E"/>
    <w:rsid w:val="008E2319"/>
    <w:rsid w:val="008E2571"/>
    <w:rsid w:val="008E4BB6"/>
    <w:rsid w:val="008E5518"/>
    <w:rsid w:val="008E6A84"/>
    <w:rsid w:val="008F0CDC"/>
    <w:rsid w:val="008F17A3"/>
    <w:rsid w:val="008F1ED3"/>
    <w:rsid w:val="008F23A5"/>
    <w:rsid w:val="008F4C29"/>
    <w:rsid w:val="008F559C"/>
    <w:rsid w:val="008F55BE"/>
    <w:rsid w:val="008F70BD"/>
    <w:rsid w:val="008F788F"/>
    <w:rsid w:val="008F7EA2"/>
    <w:rsid w:val="00902722"/>
    <w:rsid w:val="009027BC"/>
    <w:rsid w:val="009062E6"/>
    <w:rsid w:val="00911BE5"/>
    <w:rsid w:val="00913CA9"/>
    <w:rsid w:val="009145AE"/>
    <w:rsid w:val="009146CE"/>
    <w:rsid w:val="00914846"/>
    <w:rsid w:val="00914CA7"/>
    <w:rsid w:val="00915C3E"/>
    <w:rsid w:val="009161A8"/>
    <w:rsid w:val="009245F5"/>
    <w:rsid w:val="009249EC"/>
    <w:rsid w:val="009273B3"/>
    <w:rsid w:val="009305B5"/>
    <w:rsid w:val="00940683"/>
    <w:rsid w:val="009429D5"/>
    <w:rsid w:val="00942BF1"/>
    <w:rsid w:val="00944CFA"/>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1AD1"/>
    <w:rsid w:val="0098364B"/>
    <w:rsid w:val="009911AF"/>
    <w:rsid w:val="00991875"/>
    <w:rsid w:val="00991F92"/>
    <w:rsid w:val="00992985"/>
    <w:rsid w:val="00993889"/>
    <w:rsid w:val="0099551B"/>
    <w:rsid w:val="00997BF1"/>
    <w:rsid w:val="009A03DA"/>
    <w:rsid w:val="009A089C"/>
    <w:rsid w:val="009A118E"/>
    <w:rsid w:val="009A21CD"/>
    <w:rsid w:val="009A278C"/>
    <w:rsid w:val="009A2BC2"/>
    <w:rsid w:val="009A42C1"/>
    <w:rsid w:val="009A5429"/>
    <w:rsid w:val="009A72AD"/>
    <w:rsid w:val="009B09E0"/>
    <w:rsid w:val="009B0BC5"/>
    <w:rsid w:val="009B1247"/>
    <w:rsid w:val="009B2ECD"/>
    <w:rsid w:val="009B46F9"/>
    <w:rsid w:val="009B4D48"/>
    <w:rsid w:val="009B6029"/>
    <w:rsid w:val="009B6971"/>
    <w:rsid w:val="009B6CEB"/>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EEE"/>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3EF"/>
    <w:rsid w:val="00A70B07"/>
    <w:rsid w:val="00A723F8"/>
    <w:rsid w:val="00A764C1"/>
    <w:rsid w:val="00A77CCB"/>
    <w:rsid w:val="00A83D8D"/>
    <w:rsid w:val="00A8446B"/>
    <w:rsid w:val="00A8473F"/>
    <w:rsid w:val="00A862D6"/>
    <w:rsid w:val="00A8715E"/>
    <w:rsid w:val="00A9295B"/>
    <w:rsid w:val="00A93B09"/>
    <w:rsid w:val="00A94247"/>
    <w:rsid w:val="00A952D7"/>
    <w:rsid w:val="00A95AFF"/>
    <w:rsid w:val="00A963F7"/>
    <w:rsid w:val="00A96AD8"/>
    <w:rsid w:val="00AA052C"/>
    <w:rsid w:val="00AA1E45"/>
    <w:rsid w:val="00AA4286"/>
    <w:rsid w:val="00AA456B"/>
    <w:rsid w:val="00AA4D70"/>
    <w:rsid w:val="00AA57F5"/>
    <w:rsid w:val="00AA672E"/>
    <w:rsid w:val="00AA6EC9"/>
    <w:rsid w:val="00AB2A04"/>
    <w:rsid w:val="00AB2CE5"/>
    <w:rsid w:val="00AB41D5"/>
    <w:rsid w:val="00AB6309"/>
    <w:rsid w:val="00AB6C5F"/>
    <w:rsid w:val="00AB7129"/>
    <w:rsid w:val="00AB7462"/>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0F"/>
    <w:rsid w:val="00AE37E5"/>
    <w:rsid w:val="00AE578A"/>
    <w:rsid w:val="00AE5EB4"/>
    <w:rsid w:val="00AF0C18"/>
    <w:rsid w:val="00AF40FE"/>
    <w:rsid w:val="00AF47C5"/>
    <w:rsid w:val="00AF5398"/>
    <w:rsid w:val="00AF7A8A"/>
    <w:rsid w:val="00B049AF"/>
    <w:rsid w:val="00B07242"/>
    <w:rsid w:val="00B10534"/>
    <w:rsid w:val="00B113DB"/>
    <w:rsid w:val="00B11D8A"/>
    <w:rsid w:val="00B12981"/>
    <w:rsid w:val="00B147DD"/>
    <w:rsid w:val="00B156FD"/>
    <w:rsid w:val="00B2086B"/>
    <w:rsid w:val="00B21F61"/>
    <w:rsid w:val="00B25864"/>
    <w:rsid w:val="00B261F1"/>
    <w:rsid w:val="00B265BC"/>
    <w:rsid w:val="00B272D6"/>
    <w:rsid w:val="00B31FB1"/>
    <w:rsid w:val="00B33952"/>
    <w:rsid w:val="00B33C5E"/>
    <w:rsid w:val="00B342F4"/>
    <w:rsid w:val="00B34369"/>
    <w:rsid w:val="00B34DC2"/>
    <w:rsid w:val="00B378E5"/>
    <w:rsid w:val="00B37F76"/>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0964"/>
    <w:rsid w:val="00B827A6"/>
    <w:rsid w:val="00B831CE"/>
    <w:rsid w:val="00B85D99"/>
    <w:rsid w:val="00B86677"/>
    <w:rsid w:val="00B87131"/>
    <w:rsid w:val="00B939B1"/>
    <w:rsid w:val="00B96D40"/>
    <w:rsid w:val="00B97386"/>
    <w:rsid w:val="00BA263B"/>
    <w:rsid w:val="00BA42B2"/>
    <w:rsid w:val="00BA58D4"/>
    <w:rsid w:val="00BA5B9E"/>
    <w:rsid w:val="00BA7C9A"/>
    <w:rsid w:val="00BB203B"/>
    <w:rsid w:val="00BB5868"/>
    <w:rsid w:val="00BB5F8F"/>
    <w:rsid w:val="00BB657A"/>
    <w:rsid w:val="00BC1A4E"/>
    <w:rsid w:val="00BC3D8E"/>
    <w:rsid w:val="00BC4790"/>
    <w:rsid w:val="00BC5DC7"/>
    <w:rsid w:val="00BC6B8B"/>
    <w:rsid w:val="00BC73D8"/>
    <w:rsid w:val="00BD062D"/>
    <w:rsid w:val="00BD22D4"/>
    <w:rsid w:val="00BD52D7"/>
    <w:rsid w:val="00BD5AD2"/>
    <w:rsid w:val="00BE090F"/>
    <w:rsid w:val="00BE22F3"/>
    <w:rsid w:val="00BE46E3"/>
    <w:rsid w:val="00BE5B52"/>
    <w:rsid w:val="00BE7B8D"/>
    <w:rsid w:val="00BF0993"/>
    <w:rsid w:val="00BF10A9"/>
    <w:rsid w:val="00BF1703"/>
    <w:rsid w:val="00BF231C"/>
    <w:rsid w:val="00BF51E5"/>
    <w:rsid w:val="00BF70F4"/>
    <w:rsid w:val="00BF7336"/>
    <w:rsid w:val="00BF74A6"/>
    <w:rsid w:val="00C00082"/>
    <w:rsid w:val="00C013AD"/>
    <w:rsid w:val="00C04904"/>
    <w:rsid w:val="00C056B3"/>
    <w:rsid w:val="00C05B28"/>
    <w:rsid w:val="00C103E5"/>
    <w:rsid w:val="00C13319"/>
    <w:rsid w:val="00C13EE9"/>
    <w:rsid w:val="00C21540"/>
    <w:rsid w:val="00C21906"/>
    <w:rsid w:val="00C21BFA"/>
    <w:rsid w:val="00C22148"/>
    <w:rsid w:val="00C2493F"/>
    <w:rsid w:val="00C24C8D"/>
    <w:rsid w:val="00C25FE2"/>
    <w:rsid w:val="00C26B53"/>
    <w:rsid w:val="00C26E51"/>
    <w:rsid w:val="00C279B2"/>
    <w:rsid w:val="00C33E50"/>
    <w:rsid w:val="00C34C20"/>
    <w:rsid w:val="00C35A3E"/>
    <w:rsid w:val="00C42130"/>
    <w:rsid w:val="00C4215E"/>
    <w:rsid w:val="00C423A4"/>
    <w:rsid w:val="00C44BF5"/>
    <w:rsid w:val="00C452F7"/>
    <w:rsid w:val="00C521D6"/>
    <w:rsid w:val="00C53BA7"/>
    <w:rsid w:val="00C53CE5"/>
    <w:rsid w:val="00C55232"/>
    <w:rsid w:val="00C553A4"/>
    <w:rsid w:val="00C55A06"/>
    <w:rsid w:val="00C55D03"/>
    <w:rsid w:val="00C601BC"/>
    <w:rsid w:val="00C6329F"/>
    <w:rsid w:val="00C63340"/>
    <w:rsid w:val="00C643F9"/>
    <w:rsid w:val="00C64E95"/>
    <w:rsid w:val="00C669B1"/>
    <w:rsid w:val="00C71372"/>
    <w:rsid w:val="00C72410"/>
    <w:rsid w:val="00C7287F"/>
    <w:rsid w:val="00C73241"/>
    <w:rsid w:val="00C80982"/>
    <w:rsid w:val="00C80CB8"/>
    <w:rsid w:val="00C819F8"/>
    <w:rsid w:val="00C8248C"/>
    <w:rsid w:val="00C84E33"/>
    <w:rsid w:val="00C86D6F"/>
    <w:rsid w:val="00C905FC"/>
    <w:rsid w:val="00C92D03"/>
    <w:rsid w:val="00C9319C"/>
    <w:rsid w:val="00C9435D"/>
    <w:rsid w:val="00C94DF2"/>
    <w:rsid w:val="00C96741"/>
    <w:rsid w:val="00CA18C5"/>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047"/>
    <w:rsid w:val="00CF686F"/>
    <w:rsid w:val="00CF6E60"/>
    <w:rsid w:val="00CF7BCA"/>
    <w:rsid w:val="00D008FD"/>
    <w:rsid w:val="00D0321C"/>
    <w:rsid w:val="00D035EC"/>
    <w:rsid w:val="00D06AB1"/>
    <w:rsid w:val="00D072ED"/>
    <w:rsid w:val="00D07A16"/>
    <w:rsid w:val="00D1067E"/>
    <w:rsid w:val="00D10F50"/>
    <w:rsid w:val="00D11272"/>
    <w:rsid w:val="00D122D5"/>
    <w:rsid w:val="00D126F5"/>
    <w:rsid w:val="00D12D37"/>
    <w:rsid w:val="00D13C95"/>
    <w:rsid w:val="00D1489E"/>
    <w:rsid w:val="00D1784C"/>
    <w:rsid w:val="00D20737"/>
    <w:rsid w:val="00D21E81"/>
    <w:rsid w:val="00D223DE"/>
    <w:rsid w:val="00D25E37"/>
    <w:rsid w:val="00D2661A"/>
    <w:rsid w:val="00D27582"/>
    <w:rsid w:val="00D27EC4"/>
    <w:rsid w:val="00D31861"/>
    <w:rsid w:val="00D32719"/>
    <w:rsid w:val="00D33333"/>
    <w:rsid w:val="00D33457"/>
    <w:rsid w:val="00D352A2"/>
    <w:rsid w:val="00D352ED"/>
    <w:rsid w:val="00D3660F"/>
    <w:rsid w:val="00D4162B"/>
    <w:rsid w:val="00D4514F"/>
    <w:rsid w:val="00D451E2"/>
    <w:rsid w:val="00D45E89"/>
    <w:rsid w:val="00D45E8D"/>
    <w:rsid w:val="00D466AE"/>
    <w:rsid w:val="00D4734F"/>
    <w:rsid w:val="00D47C62"/>
    <w:rsid w:val="00D51BF3"/>
    <w:rsid w:val="00D6596D"/>
    <w:rsid w:val="00D66846"/>
    <w:rsid w:val="00D675FB"/>
    <w:rsid w:val="00D67C8B"/>
    <w:rsid w:val="00D71F25"/>
    <w:rsid w:val="00D72611"/>
    <w:rsid w:val="00D72A9C"/>
    <w:rsid w:val="00D72DEE"/>
    <w:rsid w:val="00D77031"/>
    <w:rsid w:val="00D80C2A"/>
    <w:rsid w:val="00D847F0"/>
    <w:rsid w:val="00D84941"/>
    <w:rsid w:val="00D84FA1"/>
    <w:rsid w:val="00D851F0"/>
    <w:rsid w:val="00D86DB7"/>
    <w:rsid w:val="00D90D60"/>
    <w:rsid w:val="00D926D0"/>
    <w:rsid w:val="00D93030"/>
    <w:rsid w:val="00D950E1"/>
    <w:rsid w:val="00D952A6"/>
    <w:rsid w:val="00D97F99"/>
    <w:rsid w:val="00DA180E"/>
    <w:rsid w:val="00DA1E08"/>
    <w:rsid w:val="00DA23E9"/>
    <w:rsid w:val="00DA24F8"/>
    <w:rsid w:val="00DA28E8"/>
    <w:rsid w:val="00DA38D3"/>
    <w:rsid w:val="00DA3932"/>
    <w:rsid w:val="00DA3AFC"/>
    <w:rsid w:val="00DA5191"/>
    <w:rsid w:val="00DA64F8"/>
    <w:rsid w:val="00DA6C15"/>
    <w:rsid w:val="00DB0258"/>
    <w:rsid w:val="00DB38EE"/>
    <w:rsid w:val="00DB3942"/>
    <w:rsid w:val="00DB498B"/>
    <w:rsid w:val="00DB66CA"/>
    <w:rsid w:val="00DB6BCA"/>
    <w:rsid w:val="00DB73F7"/>
    <w:rsid w:val="00DC0321"/>
    <w:rsid w:val="00DC3067"/>
    <w:rsid w:val="00DC370B"/>
    <w:rsid w:val="00DC5B90"/>
    <w:rsid w:val="00DD00FF"/>
    <w:rsid w:val="00DD0619"/>
    <w:rsid w:val="00DD07FB"/>
    <w:rsid w:val="00DD25C6"/>
    <w:rsid w:val="00DD4830"/>
    <w:rsid w:val="00DD4FE5"/>
    <w:rsid w:val="00DD54B0"/>
    <w:rsid w:val="00DD57EE"/>
    <w:rsid w:val="00DD6386"/>
    <w:rsid w:val="00DD6BCC"/>
    <w:rsid w:val="00DD7258"/>
    <w:rsid w:val="00DE0A4B"/>
    <w:rsid w:val="00DE2410"/>
    <w:rsid w:val="00DE2939"/>
    <w:rsid w:val="00DE6E81"/>
    <w:rsid w:val="00DE703F"/>
    <w:rsid w:val="00DE7595"/>
    <w:rsid w:val="00DF1961"/>
    <w:rsid w:val="00DF3A91"/>
    <w:rsid w:val="00DF3DD8"/>
    <w:rsid w:val="00DF44DE"/>
    <w:rsid w:val="00DF4A04"/>
    <w:rsid w:val="00DF5F11"/>
    <w:rsid w:val="00E01138"/>
    <w:rsid w:val="00E02DFB"/>
    <w:rsid w:val="00E030F9"/>
    <w:rsid w:val="00E0311A"/>
    <w:rsid w:val="00E03138"/>
    <w:rsid w:val="00E0404B"/>
    <w:rsid w:val="00E05C35"/>
    <w:rsid w:val="00E06404"/>
    <w:rsid w:val="00E065D2"/>
    <w:rsid w:val="00E11A85"/>
    <w:rsid w:val="00E12495"/>
    <w:rsid w:val="00E15CCD"/>
    <w:rsid w:val="00E202EF"/>
    <w:rsid w:val="00E210B5"/>
    <w:rsid w:val="00E23D99"/>
    <w:rsid w:val="00E2552F"/>
    <w:rsid w:val="00E309F8"/>
    <w:rsid w:val="00E3137A"/>
    <w:rsid w:val="00E32102"/>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22B"/>
    <w:rsid w:val="00E56800"/>
    <w:rsid w:val="00E60C63"/>
    <w:rsid w:val="00E62FF9"/>
    <w:rsid w:val="00E635D6"/>
    <w:rsid w:val="00E639BC"/>
    <w:rsid w:val="00E664CC"/>
    <w:rsid w:val="00E70388"/>
    <w:rsid w:val="00E70F92"/>
    <w:rsid w:val="00E72E1D"/>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B0F"/>
    <w:rsid w:val="00EB1E69"/>
    <w:rsid w:val="00EB2086"/>
    <w:rsid w:val="00EB5EDF"/>
    <w:rsid w:val="00EB60FE"/>
    <w:rsid w:val="00EB74DB"/>
    <w:rsid w:val="00EC5359"/>
    <w:rsid w:val="00EC562A"/>
    <w:rsid w:val="00ED0167"/>
    <w:rsid w:val="00ED067A"/>
    <w:rsid w:val="00ED17E1"/>
    <w:rsid w:val="00ED2B50"/>
    <w:rsid w:val="00EE0350"/>
    <w:rsid w:val="00EE0719"/>
    <w:rsid w:val="00EE0E80"/>
    <w:rsid w:val="00EE54A6"/>
    <w:rsid w:val="00EE5D7A"/>
    <w:rsid w:val="00EE613F"/>
    <w:rsid w:val="00EE7295"/>
    <w:rsid w:val="00EE7869"/>
    <w:rsid w:val="00EF054A"/>
    <w:rsid w:val="00EF3235"/>
    <w:rsid w:val="00EF7E72"/>
    <w:rsid w:val="00F04BBC"/>
    <w:rsid w:val="00F06D37"/>
    <w:rsid w:val="00F07B9D"/>
    <w:rsid w:val="00F11586"/>
    <w:rsid w:val="00F1183B"/>
    <w:rsid w:val="00F11C9F"/>
    <w:rsid w:val="00F12263"/>
    <w:rsid w:val="00F1352F"/>
    <w:rsid w:val="00F1409D"/>
    <w:rsid w:val="00F14214"/>
    <w:rsid w:val="00F157A9"/>
    <w:rsid w:val="00F20146"/>
    <w:rsid w:val="00F25BB6"/>
    <w:rsid w:val="00F26B7E"/>
    <w:rsid w:val="00F27A3B"/>
    <w:rsid w:val="00F27DE5"/>
    <w:rsid w:val="00F33817"/>
    <w:rsid w:val="00F35387"/>
    <w:rsid w:val="00F36B60"/>
    <w:rsid w:val="00F420D5"/>
    <w:rsid w:val="00F451EA"/>
    <w:rsid w:val="00F45447"/>
    <w:rsid w:val="00F456C6"/>
    <w:rsid w:val="00F4577B"/>
    <w:rsid w:val="00F46496"/>
    <w:rsid w:val="00F469E1"/>
    <w:rsid w:val="00F474D0"/>
    <w:rsid w:val="00F47C82"/>
    <w:rsid w:val="00F50179"/>
    <w:rsid w:val="00F515EE"/>
    <w:rsid w:val="00F56511"/>
    <w:rsid w:val="00F60099"/>
    <w:rsid w:val="00F6194E"/>
    <w:rsid w:val="00F623AC"/>
    <w:rsid w:val="00F6412A"/>
    <w:rsid w:val="00F65893"/>
    <w:rsid w:val="00F66A4A"/>
    <w:rsid w:val="00F71E22"/>
    <w:rsid w:val="00F72142"/>
    <w:rsid w:val="00F72AE7"/>
    <w:rsid w:val="00F748F3"/>
    <w:rsid w:val="00F81141"/>
    <w:rsid w:val="00F833BA"/>
    <w:rsid w:val="00F84FD0"/>
    <w:rsid w:val="00F859A8"/>
    <w:rsid w:val="00F86D87"/>
    <w:rsid w:val="00F9108B"/>
    <w:rsid w:val="00F91202"/>
    <w:rsid w:val="00F91349"/>
    <w:rsid w:val="00F93A8A"/>
    <w:rsid w:val="00F95248"/>
    <w:rsid w:val="00F956A9"/>
    <w:rsid w:val="00F95707"/>
    <w:rsid w:val="00F95FBF"/>
    <w:rsid w:val="00F963ED"/>
    <w:rsid w:val="00F966CF"/>
    <w:rsid w:val="00F96CAE"/>
    <w:rsid w:val="00F97C99"/>
    <w:rsid w:val="00FA4DAC"/>
    <w:rsid w:val="00FA662D"/>
    <w:rsid w:val="00FA73B1"/>
    <w:rsid w:val="00FB0CB9"/>
    <w:rsid w:val="00FB231D"/>
    <w:rsid w:val="00FB45F1"/>
    <w:rsid w:val="00FB4A72"/>
    <w:rsid w:val="00FB54E8"/>
    <w:rsid w:val="00FB5B87"/>
    <w:rsid w:val="00FB7054"/>
    <w:rsid w:val="00FC17B7"/>
    <w:rsid w:val="00FC2CB7"/>
    <w:rsid w:val="00FC4090"/>
    <w:rsid w:val="00FC55B4"/>
    <w:rsid w:val="00FD00E6"/>
    <w:rsid w:val="00FD09A1"/>
    <w:rsid w:val="00FD2A7C"/>
    <w:rsid w:val="00FD59EB"/>
    <w:rsid w:val="00FD7299"/>
    <w:rsid w:val="00FD7D41"/>
    <w:rsid w:val="00FE1FBE"/>
    <w:rsid w:val="00FE3901"/>
    <w:rsid w:val="00FE39D3"/>
    <w:rsid w:val="00FE4BCE"/>
    <w:rsid w:val="00FE4C18"/>
    <w:rsid w:val="00FE54AE"/>
    <w:rsid w:val="00FE576A"/>
    <w:rsid w:val="00FE667C"/>
    <w:rsid w:val="00FE7E79"/>
    <w:rsid w:val="00FF193E"/>
    <w:rsid w:val="00FF29C5"/>
    <w:rsid w:val="00FF3E7D"/>
    <w:rsid w:val="00FF5B99"/>
    <w:rsid w:val="00FF730C"/>
    <w:rsid w:val="00FF73F4"/>
    <w:rsid w:val="00FF7CE4"/>
    <w:rsid w:val="00FF7E39"/>
    <w:rsid w:val="03884B75"/>
    <w:rsid w:val="088F3C2B"/>
    <w:rsid w:val="0A3555E1"/>
    <w:rsid w:val="0AD5222B"/>
    <w:rsid w:val="0B7B03B7"/>
    <w:rsid w:val="0B9F1855"/>
    <w:rsid w:val="0C85177B"/>
    <w:rsid w:val="0D01557B"/>
    <w:rsid w:val="0F3F7757"/>
    <w:rsid w:val="10024DB9"/>
    <w:rsid w:val="117E7DA7"/>
    <w:rsid w:val="12B978DF"/>
    <w:rsid w:val="13CD5BC3"/>
    <w:rsid w:val="13E22D03"/>
    <w:rsid w:val="13ED4430"/>
    <w:rsid w:val="172723E8"/>
    <w:rsid w:val="17797133"/>
    <w:rsid w:val="1E3F7A61"/>
    <w:rsid w:val="1EDB5B31"/>
    <w:rsid w:val="1FEA4242"/>
    <w:rsid w:val="20534A33"/>
    <w:rsid w:val="20891983"/>
    <w:rsid w:val="22474DFC"/>
    <w:rsid w:val="22487AEF"/>
    <w:rsid w:val="24B54B3C"/>
    <w:rsid w:val="28822A19"/>
    <w:rsid w:val="28F3059F"/>
    <w:rsid w:val="29BF2DE8"/>
    <w:rsid w:val="2A1F5CBD"/>
    <w:rsid w:val="2A545189"/>
    <w:rsid w:val="2B367CAE"/>
    <w:rsid w:val="2D355FBF"/>
    <w:rsid w:val="2F884FC1"/>
    <w:rsid w:val="34137E11"/>
    <w:rsid w:val="38925778"/>
    <w:rsid w:val="38B90A1D"/>
    <w:rsid w:val="395335A2"/>
    <w:rsid w:val="422103DE"/>
    <w:rsid w:val="43B1338E"/>
    <w:rsid w:val="48546F28"/>
    <w:rsid w:val="49617DCF"/>
    <w:rsid w:val="4B2F786E"/>
    <w:rsid w:val="4CE5270D"/>
    <w:rsid w:val="4E3D4FCF"/>
    <w:rsid w:val="4FB5346C"/>
    <w:rsid w:val="506E0CEB"/>
    <w:rsid w:val="573F56F5"/>
    <w:rsid w:val="5C872B0F"/>
    <w:rsid w:val="5CC12A37"/>
    <w:rsid w:val="5E002DC0"/>
    <w:rsid w:val="5F784FC7"/>
    <w:rsid w:val="648E058B"/>
    <w:rsid w:val="65DE4041"/>
    <w:rsid w:val="661F0E5C"/>
    <w:rsid w:val="66EA5816"/>
    <w:rsid w:val="686A3E89"/>
    <w:rsid w:val="6B477A86"/>
    <w:rsid w:val="70392C19"/>
    <w:rsid w:val="724656CF"/>
    <w:rsid w:val="74580100"/>
    <w:rsid w:val="74782150"/>
    <w:rsid w:val="77012EA4"/>
    <w:rsid w:val="78663032"/>
    <w:rsid w:val="78B139FA"/>
    <w:rsid w:val="794E0540"/>
    <w:rsid w:val="7B0A72B1"/>
    <w:rsid w:val="7B315D09"/>
    <w:rsid w:val="7B45497D"/>
    <w:rsid w:val="7B800E08"/>
    <w:rsid w:val="7B8B4862"/>
    <w:rsid w:val="7CDD02F3"/>
    <w:rsid w:val="7DFFE942"/>
    <w:rsid w:val="7E3A223D"/>
    <w:rsid w:val="7E78395A"/>
    <w:rsid w:val="7EB0022A"/>
    <w:rsid w:val="7F6F7F30"/>
    <w:rsid w:val="7FBD79CC"/>
    <w:rsid w:val="9DBBE78C"/>
    <w:rsid w:val="FFDF0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tabs>
        <w:tab w:val="left" w:pos="851"/>
      </w:tabs>
      <w:ind w:left="851" w:hanging="426"/>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2"/>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3"/>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4"/>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4"/>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next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1">
    <w:name w:val="列项——（一级）"/>
    <w:qFormat/>
    <w:uiPriority w:val="0"/>
    <w:pPr>
      <w:widowControl w:val="0"/>
      <w:numPr>
        <w:ilvl w:val="0"/>
        <w:numId w:val="24"/>
      </w:numPr>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4AD46B5CEF4404CA462E3339738B726"/>
        <w:style w:val=""/>
        <w:category>
          <w:name w:val="常规"/>
          <w:gallery w:val="placeholder"/>
        </w:category>
        <w:types>
          <w:type w:val="bbPlcHdr"/>
        </w:types>
        <w:behaviors>
          <w:behavior w:val="content"/>
        </w:behaviors>
        <w:description w:val=""/>
        <w:guid w:val="{E1669969-9535-4B2F-BE26-95E6F8A68FAD}"/>
      </w:docPartPr>
      <w:docPartBody>
        <w:p>
          <w:pPr>
            <w:pStyle w:val="5"/>
            <w:rPr>
              <w:rFonts w:hint="eastAsia"/>
            </w:rPr>
          </w:pPr>
          <w:r>
            <w:rPr>
              <w:rStyle w:val="4"/>
              <w:rFonts w:hint="eastAsia"/>
            </w:rPr>
            <w:t>单击或点击此处输入文字。</w:t>
          </w:r>
        </w:p>
      </w:docPartBody>
    </w:docPart>
    <w:docPart>
      <w:docPartPr>
        <w:name w:val="898D2BF1CF6D4619908F2C0C42203993"/>
        <w:style w:val=""/>
        <w:category>
          <w:name w:val="常规"/>
          <w:gallery w:val="placeholder"/>
        </w:category>
        <w:types>
          <w:type w:val="bbPlcHdr"/>
        </w:types>
        <w:behaviors>
          <w:behavior w:val="content"/>
        </w:behaviors>
        <w:description w:val=""/>
        <w:guid w:val="{28BF1F7E-CC06-4905-BB93-2AD0E194CCF4}"/>
      </w:docPartPr>
      <w:docPartBody>
        <w:p>
          <w:pPr>
            <w:pStyle w:val="6"/>
            <w:rPr>
              <w:rFonts w:hint="eastAsia"/>
            </w:rPr>
          </w:pPr>
          <w:r>
            <w:rPr>
              <w:rStyle w:val="4"/>
              <w:rFonts w:hint="eastAsia"/>
            </w:rPr>
            <w:t>选择一项。</w:t>
          </w:r>
        </w:p>
      </w:docPartBody>
    </w:docPart>
    <w:docPart>
      <w:docPartPr>
        <w:name w:val="75CA5039FF154102A7812C41EA90BF6F"/>
        <w:style w:val=""/>
        <w:category>
          <w:name w:val="常规"/>
          <w:gallery w:val="placeholder"/>
        </w:category>
        <w:types>
          <w:type w:val="bbPlcHdr"/>
        </w:types>
        <w:behaviors>
          <w:behavior w:val="content"/>
        </w:behaviors>
        <w:description w:val=""/>
        <w:guid w:val="{64D2C3BF-9D58-4927-8022-F72700ED2A2C}"/>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73E"/>
    <w:rsid w:val="00063E19"/>
    <w:rsid w:val="002C57ED"/>
    <w:rsid w:val="00415294"/>
    <w:rsid w:val="004A021D"/>
    <w:rsid w:val="00561B42"/>
    <w:rsid w:val="00581D7C"/>
    <w:rsid w:val="00597E0E"/>
    <w:rsid w:val="005A0AD1"/>
    <w:rsid w:val="008809E2"/>
    <w:rsid w:val="00990EFA"/>
    <w:rsid w:val="00B67418"/>
    <w:rsid w:val="00B96AFB"/>
    <w:rsid w:val="00BD073E"/>
    <w:rsid w:val="00C26E51"/>
    <w:rsid w:val="00C73EB7"/>
    <w:rsid w:val="00CB23F2"/>
    <w:rsid w:val="00D91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4AD46B5CEF4404CA462E3339738B72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898D2BF1CF6D4619908F2C0C42203993"/>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75CA5039FF154102A7812C41EA90BF6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9</Pages>
  <Words>974</Words>
  <Characters>5554</Characters>
  <Lines>46</Lines>
  <Paragraphs>13</Paragraphs>
  <TotalTime>1</TotalTime>
  <ScaleCrop>false</ScaleCrop>
  <LinksUpToDate>false</LinksUpToDate>
  <CharactersWithSpaces>6515</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2024-05-07T21:11:00Z</dcterms:created>
  <dc:creator>ptwork</dc:creator>
  <dc:description>&lt;config cover="true" show_menu="true" version="1.0.0" doctype="SDKXY"&gt;_x000d_
&lt;/config&gt;</dc:description>
  <cp:lastModifiedBy>lh</cp:lastModifiedBy>
  <cp:lastPrinted>2020-09-01T00:00:00Z</cp:lastPrinted>
  <dcterms:modified xsi:type="dcterms:W3CDTF">2024-09-02T03:11:21Z</dcterms:modified>
  <dc:title>地方标准</dc:title>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2052-11.8.2.10229</vt:lpwstr>
  </property>
  <property fmtid="{D5CDD505-2E9C-101B-9397-08002B2CF9AE}" pid="15" name="ICV">
    <vt:lpwstr>6260516B96784667A254C38BF4428468_13</vt:lpwstr>
  </property>
</Properties>
</file>